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statistics</w:t>
      </w:r>
      <w:r>
        <w:t xml:space="preserve"> </w:t>
      </w:r>
      <w:r>
        <w:t xml:space="preserve">for</w:t>
      </w:r>
      <w:r>
        <w:t xml:space="preserve"> </w:t>
      </w:r>
      <w:r>
        <w:t xml:space="preserve">repeated</w:t>
      </w:r>
      <w:r>
        <w:t xml:space="preserve"> </w:t>
      </w:r>
      <w:r>
        <w:t xml:space="preserve">measures</w:t>
      </w:r>
    </w:p>
    <w:p>
      <w:pPr>
        <w:pStyle w:val="Subtitle"/>
      </w:pPr>
      <w:r>
        <w:t xml:space="preserve">Their</w:t>
      </w:r>
      <w:r>
        <w:t xml:space="preserve"> </w:t>
      </w:r>
      <w:r>
        <w:t xml:space="preserve">application</w:t>
      </w:r>
      <w:r>
        <w:t xml:space="preserve"> </w:t>
      </w:r>
      <w:r>
        <w:t xml:space="preserve">and</w:t>
      </w:r>
      <w:r>
        <w:t xml:space="preserve"> </w:t>
      </w:r>
      <w:r>
        <w:t xml:space="preserve">use</w:t>
      </w:r>
      <w:r>
        <w:t xml:space="preserve"> </w:t>
      </w:r>
      <w:r>
        <w:t xml:space="preserve">in</w:t>
      </w:r>
      <w:r>
        <w:t xml:space="preserve"> </w:t>
      </w:r>
      <w:r>
        <w:t xml:space="preserve">biomedical</w:t>
      </w:r>
      <w:r>
        <w:t xml:space="preserve"> </w:t>
      </w:r>
      <w:r>
        <w:t xml:space="preserve">research</w:t>
      </w:r>
    </w:p>
    <w:p>
      <w:pPr>
        <w:pStyle w:val="Author"/>
      </w:pPr>
      <w:r>
        <w:t xml:space="preserve">Ariel</w:t>
      </w:r>
      <w:r>
        <w:t xml:space="preserve"> </w:t>
      </w:r>
      <w:r>
        <w:t xml:space="preserve">Mundo,</w:t>
      </w:r>
      <w:r>
        <w:t xml:space="preserve"> </w:t>
      </w:r>
      <w:r>
        <w:t xml:space="preserve">John</w:t>
      </w:r>
      <w:r>
        <w:t xml:space="preserve"> </w:t>
      </w:r>
      <w:r>
        <w:t xml:space="preserve">Tipton,</w:t>
      </w:r>
      <w:r>
        <w:t xml:space="preserve"> </w:t>
      </w:r>
      <w:r>
        <w:t xml:space="preserve">Timothy</w:t>
      </w:r>
      <w:r>
        <w:t xml:space="preserve"> </w:t>
      </w:r>
      <w:r>
        <w:t xml:space="preserve">Muldoon</w:t>
      </w:r>
    </w:p>
    <w:p>
      <w:pPr>
        <w:pStyle w:val="FirstParagraph"/>
      </w:pPr>
      <w:r>
        <w:t xml:space="preserve">Paper outline</w:t>
      </w:r>
    </w:p>
    <w:p>
      <w:pPr>
        <w:pStyle w:val="BodyText"/>
      </w:pPr>
      <w:r>
        <w:t xml:space="preserve">Background/Introduction</w:t>
      </w:r>
    </w:p>
    <w:p>
      <w:pPr>
        <w:numPr>
          <w:numId w:val="1001"/>
          <w:ilvl w:val="0"/>
        </w:numPr>
      </w:pPr>
      <w:r>
        <w:t xml:space="preserve">Paragraph 1: Definition of a longitudinal study. .Statistical advantages of repeated measures studies over cross sectional:power and number of subjects (references).</w:t>
      </w:r>
    </w:p>
    <w:p>
      <w:pPr>
        <w:numPr>
          <w:numId w:val="1001"/>
          <w:ilvl w:val="0"/>
        </w:numPr>
      </w:pPr>
      <w:r>
        <w:t xml:space="preserve">Paragraph 2: Challenges presented by longitudinal studies. Missing observations, and correlation between measurements. Limitations that these items raise for the traditional ANOVA methods of analysis.</w:t>
      </w:r>
    </w:p>
    <w:p>
      <w:pPr>
        <w:numPr>
          <w:numId w:val="1001"/>
          <w:ilvl w:val="0"/>
        </w:numPr>
      </w:pPr>
      <w:r>
        <w:t xml:space="preserve">Paragraph 3: Bayesian statistics as an alternative approach. Advantages over ANOVA and what inference can be made from it. Argue that while it is not commonly used in the biomedical arena, this paper aims at showing the implementation in an amenable manner to analyze non-linear trends in data.</w:t>
      </w:r>
    </w:p>
    <w:p>
      <w:r>
        <w:pict>
          <v:rect style="width:0;height:1.5pt" o:hralign="center" o:hrstd="t" o:hr="t"/>
        </w:pict>
      </w:r>
    </w:p>
    <w:p>
      <w:pPr>
        <w:numPr>
          <w:numId w:val="1002"/>
          <w:ilvl w:val="0"/>
        </w:numPr>
      </w:pPr>
      <w:r>
        <w:t xml:space="preserve">Recap on repeated measures ANOVA and the requisites that it needs to work properly</w:t>
      </w:r>
      <w:r>
        <w:t xml:space="preserve"> </w:t>
      </w:r>
      <w:r>
        <w:t xml:space="preserve">-Sphericity</w:t>
      </w:r>
      <w:r>
        <w:t xml:space="preserve"> </w:t>
      </w:r>
      <w:r>
        <w:t xml:space="preserve">-Variance-covariance matrix</w:t>
      </w:r>
      <w:r>
        <w:t xml:space="preserve"> </w:t>
      </w:r>
      <w:r>
        <w:t xml:space="preserve">-Explain the</w:t>
      </w:r>
      <w:r>
        <w:t xml:space="preserve"> </w:t>
      </w:r>
      <w:r>
        <w:rPr>
          <w:i/>
        </w:rPr>
        <w:t xml:space="preserve">true</w:t>
      </w:r>
      <w:r>
        <w:t xml:space="preserve"> </w:t>
      </w:r>
      <w:r>
        <w:t xml:space="preserve">meaning of a</w:t>
      </w:r>
      <w:r>
        <w:t xml:space="preserve"> </w:t>
      </w:r>
      <w:r>
        <w:rPr>
          <w:i/>
        </w:rPr>
        <w:t xml:space="preserve">p-value</w:t>
      </w:r>
      <w:r>
        <w:t xml:space="preserve"> </w:t>
      </w:r>
      <w:r>
        <w:t xml:space="preserve">and why it is not what researchers commonly think it is</w:t>
      </w:r>
    </w:p>
    <w:p>
      <w:pPr>
        <w:numPr>
          <w:numId w:val="1002"/>
          <w:ilvl w:val="0"/>
        </w:numPr>
      </w:pPr>
      <w:r>
        <w:t xml:space="preserve">Gentle introduction to Bayesian statistics</w:t>
      </w:r>
      <w:r>
        <w:t xml:space="preserve"> </w:t>
      </w:r>
      <w:r>
        <w:t xml:space="preserve">-How it works</w:t>
      </w:r>
      <w:r>
        <w:t xml:space="preserve"> </w:t>
      </w:r>
      <w:r>
        <w:t xml:space="preserve">-What advantages it has over ANOVA</w:t>
      </w:r>
      <w:r>
        <w:t xml:space="preserve"> </w:t>
      </w:r>
      <w:r>
        <w:t xml:space="preserve">-What a confidence interval means probabilistically</w:t>
      </w:r>
    </w:p>
    <w:p>
      <w:pPr>
        <w:pStyle w:val="Heading1"/>
      </w:pPr>
      <w:bookmarkStart w:id="20" w:name="background"/>
      <w:r>
        <w:t xml:space="preserve">Background</w:t>
      </w:r>
      <w:bookmarkEnd w:id="20"/>
    </w:p>
    <w:p>
      <w:pPr>
        <w:pStyle w:val="FirstParagraph"/>
      </w:pPr>
      <w:r>
        <w:t xml:space="preserve">The study of the temporal changes in a variable of interest is a question that has been analyzed extensively in biomedical research. Typically, measurements are taken across multiple timepoints on the same subject(s) within a group. Examples of this type of approach include clinical studies on cancer breast and neck cancer</w:t>
      </w:r>
      <w:r>
        <w:t xml:space="preserve">(Sio et al.</w:t>
      </w:r>
      <w:r>
        <w:t xml:space="preserve"> </w:t>
      </w:r>
      <w:hyperlink w:anchor="ref-sio2016">
        <w:r>
          <w:rPr>
            <w:rStyle w:val="Hyperlink"/>
          </w:rPr>
          <w:t xml:space="preserve">2016</w:t>
        </w:r>
      </w:hyperlink>
      <w:r>
        <w:t xml:space="preserve">; Kamstra et al.</w:t>
      </w:r>
      <w:r>
        <w:t xml:space="preserve"> </w:t>
      </w:r>
      <w:hyperlink w:anchor="ref-kamstra2015">
        <w:r>
          <w:rPr>
            <w:rStyle w:val="Hyperlink"/>
          </w:rPr>
          <w:t xml:space="preserve">2015</w:t>
        </w:r>
      </w:hyperlink>
      <w:r>
        <w:t xml:space="preserve">)</w:t>
      </w:r>
      <w:r>
        <w:t xml:space="preserve">, tumor response</w:t>
      </w:r>
      <w:r>
        <w:t xml:space="preserve">(Roblyer et al.</w:t>
      </w:r>
      <w:r>
        <w:t xml:space="preserve"> </w:t>
      </w:r>
      <w:hyperlink w:anchor="ref-roblyer2011">
        <w:r>
          <w:rPr>
            <w:rStyle w:val="Hyperlink"/>
          </w:rPr>
          <w:t xml:space="preserve">2011</w:t>
        </w:r>
      </w:hyperlink>
      <w:r>
        <w:t xml:space="preserve">; Tank et al.</w:t>
      </w:r>
      <w:r>
        <w:t xml:space="preserve"> </w:t>
      </w:r>
      <w:hyperlink w:anchor="ref-tank2020">
        <w:r>
          <w:rPr>
            <w:rStyle w:val="Hyperlink"/>
          </w:rPr>
          <w:t xml:space="preserve">2020</w:t>
        </w:r>
      </w:hyperlink>
      <w:r>
        <w:t xml:space="preserve">; Pavlov et al.</w:t>
      </w:r>
      <w:r>
        <w:t xml:space="preserve"> </w:t>
      </w:r>
      <w:hyperlink w:anchor="ref-pavlov2018">
        <w:r>
          <w:rPr>
            <w:rStyle w:val="Hyperlink"/>
          </w:rPr>
          <w:t xml:space="preserve">2018</w:t>
        </w:r>
      </w:hyperlink>
      <w:r>
        <w:t xml:space="preserve">; Demidov et al.</w:t>
      </w:r>
      <w:r>
        <w:t xml:space="preserve"> </w:t>
      </w:r>
      <w:hyperlink w:anchor="ref-demidov2018">
        <w:r>
          <w:rPr>
            <w:rStyle w:val="Hyperlink"/>
          </w:rPr>
          <w:t xml:space="preserve">2018</w:t>
        </w:r>
      </w:hyperlink>
      <w:r>
        <w:t xml:space="preserve">)</w:t>
      </w:r>
      <w:r>
        <w:t xml:space="preserve">, antibody expression</w:t>
      </w:r>
      <w:r>
        <w:t xml:space="preserve">(Ritter et al.</w:t>
      </w:r>
      <w:r>
        <w:t xml:space="preserve"> </w:t>
      </w:r>
      <w:hyperlink w:anchor="ref-ritter2001">
        <w:r>
          <w:rPr>
            <w:rStyle w:val="Hyperlink"/>
          </w:rPr>
          <w:t xml:space="preserve">2001</w:t>
        </w:r>
      </w:hyperlink>
      <w:r>
        <w:t xml:space="preserve">; Roth et al.</w:t>
      </w:r>
      <w:r>
        <w:t xml:space="preserve"> </w:t>
      </w:r>
      <w:hyperlink w:anchor="ref-roth2017">
        <w:r>
          <w:rPr>
            <w:rStyle w:val="Hyperlink"/>
          </w:rPr>
          <w:t xml:space="preserve">2017</w:t>
        </w:r>
      </w:hyperlink>
      <w:r>
        <w:t xml:space="preserve">)</w:t>
      </w:r>
      <w:r>
        <w:t xml:space="preserve">, and cell metabolism</w:t>
      </w:r>
      <w:r>
        <w:t xml:space="preserve">(Jones et al.</w:t>
      </w:r>
      <w:r>
        <w:t xml:space="preserve"> </w:t>
      </w:r>
      <w:hyperlink w:anchor="ref-jones2018">
        <w:r>
          <w:rPr>
            <w:rStyle w:val="Hyperlink"/>
          </w:rPr>
          <w:t xml:space="preserve">2018</w:t>
        </w:r>
      </w:hyperlink>
      <w:r>
        <w:t xml:space="preserve">; Skala et al.</w:t>
      </w:r>
      <w:r>
        <w:t xml:space="preserve"> </w:t>
      </w:r>
      <w:hyperlink w:anchor="ref-skala2010">
        <w:r>
          <w:rPr>
            <w:rStyle w:val="Hyperlink"/>
          </w:rPr>
          <w:t xml:space="preserve">2010</w:t>
        </w:r>
      </w:hyperlink>
      <w:r>
        <w:t xml:space="preserve">)</w:t>
      </w:r>
      <w:r>
        <w:t xml:space="preserve">. Whereas this type of study presents advantages over a cross-sectional study in the number of subjects required to achieve a certain statistical power, and in its ability</w:t>
      </w:r>
      <w:r>
        <w:t xml:space="preserve"> </w:t>
      </w:r>
      <w:r>
        <w:t xml:space="preserve">(Chavalarias et al.</w:t>
      </w:r>
      <w:r>
        <w:t xml:space="preserve"> </w:t>
      </w:r>
      <w:hyperlink w:anchor="ref-chavalarias2016">
        <w:r>
          <w:rPr>
            <w:rStyle w:val="Hyperlink"/>
          </w:rPr>
          <w:t xml:space="preserve">2016</w:t>
        </w:r>
      </w:hyperlink>
      <w:r>
        <w:t xml:space="preserve">)</w:t>
      </w:r>
    </w:p>
    <w:p>
      <w:pPr>
        <w:pStyle w:val="BodyText"/>
      </w:pPr>
      <w:r>
        <w:t xml:space="preserve">(Vishwanath et al.</w:t>
      </w:r>
      <w:r>
        <w:t xml:space="preserve"> </w:t>
      </w:r>
      <w:hyperlink w:anchor="ref-vishwanath2009">
        <w:r>
          <w:rPr>
            <w:rStyle w:val="Hyperlink"/>
          </w:rPr>
          <w:t xml:space="preserve">2009</w:t>
        </w:r>
      </w:hyperlink>
      <w:r>
        <w:t xml:space="preserve">)</w:t>
      </w:r>
      <w:r>
        <w:t xml:space="preserve">.</w:t>
      </w:r>
    </w:p>
    <w:p>
      <w:pPr>
        <w:pStyle w:val="Heading3"/>
      </w:pPr>
      <w:bookmarkStart w:id="21" w:name="longitudinal-vs"/>
      <w:r>
        <w:t xml:space="preserve">Longitudinal vs</w:t>
      </w:r>
      <w:bookmarkEnd w:id="21"/>
    </w:p>
    <w:p>
      <w:pPr>
        <w:pStyle w:val="Heading1"/>
      </w:pPr>
      <w:bookmarkStart w:id="22" w:name="references"/>
      <w:r>
        <w:t xml:space="preserve">References</w:t>
      </w:r>
      <w:bookmarkEnd w:id="22"/>
    </w:p>
    <w:bookmarkStart w:id="35" w:name="refs"/>
    <w:bookmarkStart w:id="23" w:name="ref-chavalarias2016"/>
    <w:p>
      <w:pPr>
        <w:pStyle w:val="Bibliography"/>
      </w:pPr>
      <w:r>
        <w:t xml:space="preserve">Chavalarias, David, Joshua David Wallach, Alvin Ho Ting Li, and John PA Ioannidis. 2016. “Evolution of Reporting P Values in the Biomedical Literature, 1990-2015.”</w:t>
      </w:r>
      <w:r>
        <w:t xml:space="preserve"> </w:t>
      </w:r>
      <w:r>
        <w:rPr>
          <w:i/>
        </w:rPr>
        <w:t xml:space="preserve">Jama</w:t>
      </w:r>
      <w:r>
        <w:t xml:space="preserve"> </w:t>
      </w:r>
      <w:r>
        <w:t xml:space="preserve">315 (11): 1141–8.</w:t>
      </w:r>
    </w:p>
    <w:bookmarkEnd w:id="23"/>
    <w:bookmarkStart w:id="24" w:name="ref-demidov2018"/>
    <w:p>
      <w:pPr>
        <w:pStyle w:val="Bibliography"/>
      </w:pPr>
      <w:r>
        <w:t xml:space="preserve">Demidov, Valentin, Azusa Maeda, Mitsuro Sugita, Victoria Madge, Siddharth Sadanand, Costel Flueraru, and I Alex Vitkin. 2018. “Preclinical Longitudinal Imaging of Tumor Microvascular Radiobiological Response with Functional Optical Coherence Tomography.”</w:t>
      </w:r>
      <w:r>
        <w:t xml:space="preserve"> </w:t>
      </w:r>
      <w:r>
        <w:rPr>
          <w:i/>
        </w:rPr>
        <w:t xml:space="preserve">Scientific Reports</w:t>
      </w:r>
      <w:r>
        <w:t xml:space="preserve"> </w:t>
      </w:r>
      <w:r>
        <w:t xml:space="preserve">8 (1): 1–12.</w:t>
      </w:r>
    </w:p>
    <w:bookmarkEnd w:id="24"/>
    <w:bookmarkStart w:id="25" w:name="ref-jones2018"/>
    <w:p>
      <w:pPr>
        <w:pStyle w:val="Bibliography"/>
      </w:pPr>
      <w:r>
        <w:t xml:space="preserve">Jones, Jake D, Hallie E Ramser, Alan E Woessner, and Kyle P Quinn. 2018. “In Vivo Multiphoton Microscopy Detects Longitudinal Metabolic Changes Associated with Delayed Skin Wound Healing.”</w:t>
      </w:r>
      <w:r>
        <w:t xml:space="preserve"> </w:t>
      </w:r>
      <w:r>
        <w:rPr>
          <w:i/>
        </w:rPr>
        <w:t xml:space="preserve">Communications Biology</w:t>
      </w:r>
      <w:r>
        <w:t xml:space="preserve"> </w:t>
      </w:r>
      <w:r>
        <w:t xml:space="preserve">1 (1): 1–8.</w:t>
      </w:r>
    </w:p>
    <w:bookmarkEnd w:id="25"/>
    <w:bookmarkStart w:id="26" w:name="ref-kamstra2015"/>
    <w:p>
      <w:pPr>
        <w:pStyle w:val="Bibliography"/>
      </w:pPr>
      <w:r>
        <w:t xml:space="preserve">Kamstra, JI, PU Dijkstra, M Van Leeuwen, JLN Roodenburg, and JA Langendijk. 2015. “Mouth Opening in Patients Irradiated for Head and Neck Cancer: A Prospective Repeated Measures Study.”</w:t>
      </w:r>
      <w:r>
        <w:t xml:space="preserve"> </w:t>
      </w:r>
      <w:r>
        <w:rPr>
          <w:i/>
        </w:rPr>
        <w:t xml:space="preserve">Oral Oncology</w:t>
      </w:r>
      <w:r>
        <w:t xml:space="preserve"> </w:t>
      </w:r>
      <w:r>
        <w:t xml:space="preserve">51 (5): 548–55.</w:t>
      </w:r>
    </w:p>
    <w:bookmarkEnd w:id="26"/>
    <w:bookmarkStart w:id="27" w:name="ref-pavlov2018"/>
    <w:p>
      <w:pPr>
        <w:pStyle w:val="Bibliography"/>
      </w:pPr>
      <w:r>
        <w:t xml:space="preserve">Pavlov, Mikhail V, Tatiana I Kalganova, Yekaterina S Lyubimtseva, Vladimir I Plekhanov, German Yurievich Golubyatnikov, Olga Y Ilyinskaya, Anna G Orlova, et al. 2018. “Multimodal Approach in Assessment of the Response of Breast Cancer to Neoadjuvant Chemotherapy.”</w:t>
      </w:r>
      <w:r>
        <w:t xml:space="preserve"> </w:t>
      </w:r>
      <w:r>
        <w:rPr>
          <w:i/>
        </w:rPr>
        <w:t xml:space="preserve">Journal of Biomedical Optics</w:t>
      </w:r>
      <w:r>
        <w:t xml:space="preserve"> </w:t>
      </w:r>
      <w:r>
        <w:t xml:space="preserve">23 (9): 091410.</w:t>
      </w:r>
    </w:p>
    <w:bookmarkEnd w:id="27"/>
    <w:bookmarkStart w:id="28" w:name="ref-ritter2001"/>
    <w:p>
      <w:pPr>
        <w:pStyle w:val="Bibliography"/>
      </w:pPr>
      <w:r>
        <w:t xml:space="preserve">Ritter, Gerd, Leonard S Cohen, Clarence Williams, Elizabeth C Richards, Lloyd J Old, and Sydney Welt. 2001. “Serological Analysis of Human Anti-Human Antibody Responses in Colon Cancer Patients Treated with Repeated Doses of Humanized Monoclonal Antibody A33.”</w:t>
      </w:r>
      <w:r>
        <w:t xml:space="preserve"> </w:t>
      </w:r>
      <w:r>
        <w:rPr>
          <w:i/>
        </w:rPr>
        <w:t xml:space="preserve">Cancer Research</w:t>
      </w:r>
      <w:r>
        <w:t xml:space="preserve"> </w:t>
      </w:r>
      <w:r>
        <w:t xml:space="preserve">61 (18): 6851–9.</w:t>
      </w:r>
    </w:p>
    <w:bookmarkEnd w:id="28"/>
    <w:bookmarkStart w:id="29" w:name="ref-roblyer2011"/>
    <w:p>
      <w:pPr>
        <w:pStyle w:val="Bibliography"/>
      </w:pPr>
      <w:r>
        <w:t xml:space="preserve">Roblyer, Darren, Shigeto Ueda, Albert Cerussi, Wendy Tanamai, Amanda Durkin, Rita Mehta, David Hsiang, et al. 2011. “Optical Imaging of Breast Cancer Oxyhemoglobin Flare Correlates with Neoadjuvant Chemotherapy Response One Day After Starting Treatment.”</w:t>
      </w:r>
      <w:r>
        <w:t xml:space="preserve"> </w:t>
      </w:r>
      <w:r>
        <w:rPr>
          <w:i/>
        </w:rPr>
        <w:t xml:space="preserve">Proceedings of the National Academy of Sciences</w:t>
      </w:r>
      <w:r>
        <w:t xml:space="preserve"> </w:t>
      </w:r>
      <w:r>
        <w:t xml:space="preserve">108 (35): 14626–31.</w:t>
      </w:r>
    </w:p>
    <w:bookmarkEnd w:id="29"/>
    <w:bookmarkStart w:id="30" w:name="ref-roth2017"/>
    <w:p>
      <w:pPr>
        <w:pStyle w:val="Bibliography"/>
      </w:pPr>
      <w:r>
        <w:t xml:space="preserve">Roth, Eli M, Anne C Goldberg, Alberico L Catapano, Albert Torri, George D Yancopoulos, Neil Stahl, Aurélie Brunet, Guillaume Lecorps, and Helen M Colhoun. 2017. “Antidrug Antibodies in Patients Treated with Alirocumab.”</w:t>
      </w:r>
    </w:p>
    <w:bookmarkEnd w:id="30"/>
    <w:bookmarkStart w:id="31" w:name="ref-sio2016"/>
    <w:p>
      <w:pPr>
        <w:pStyle w:val="Bibliography"/>
      </w:pPr>
      <w:r>
        <w:t xml:space="preserve">Sio, Terence T, Pamela J Atherton, Brandon J Birckhead, David J Schwartz, Jeff A Sloan, Drew K Seisler, James A Martenson, et al. 2016. “Repeated Measures Analyses of Dermatitis Symptom Evolution in Breast Cancer Patients Receiving Radiotherapy in a Phase 3 Randomized Trial of Mometasone Furoate Vs Placebo (N06c4 [Alliance]).”</w:t>
      </w:r>
      <w:r>
        <w:t xml:space="preserve"> </w:t>
      </w:r>
      <w:r>
        <w:rPr>
          <w:i/>
        </w:rPr>
        <w:t xml:space="preserve">Supportive Care in Cancer</w:t>
      </w:r>
      <w:r>
        <w:t xml:space="preserve"> </w:t>
      </w:r>
      <w:r>
        <w:t xml:space="preserve">24 (9): 3847–55.</w:t>
      </w:r>
    </w:p>
    <w:bookmarkEnd w:id="31"/>
    <w:bookmarkStart w:id="32" w:name="ref-skala2010"/>
    <w:p>
      <w:pPr>
        <w:pStyle w:val="Bibliography"/>
      </w:pPr>
      <w:r>
        <w:t xml:space="preserve">Skala, Melissa C, Andrew Nicholas Fontanella, Lan Lan, Joseph A Izatt, and Mark W Dewhirst. 2010. “Longitudinal Optical Imaging of Tumor Metabolism and Hemodynamics.”</w:t>
      </w:r>
      <w:r>
        <w:t xml:space="preserve"> </w:t>
      </w:r>
      <w:r>
        <w:rPr>
          <w:i/>
        </w:rPr>
        <w:t xml:space="preserve">Journal of Biomedical Optics</w:t>
      </w:r>
      <w:r>
        <w:t xml:space="preserve"> </w:t>
      </w:r>
      <w:r>
        <w:t xml:space="preserve">15 (1): 011112.</w:t>
      </w:r>
    </w:p>
    <w:bookmarkEnd w:id="32"/>
    <w:bookmarkStart w:id="33" w:name="ref-tank2020"/>
    <w:p>
      <w:pPr>
        <w:pStyle w:val="Bibliography"/>
      </w:pPr>
      <w:r>
        <w:t xml:space="preserve">Tank, Anup, Hannah M Peterson, Vivian Pera, Syeda Tabassum, Anais Leproux, Thomas O’Sullivan, Eric Jones, et al. 2020. “Diffuse Optical Spectroscopic Imaging Reveals Distinct Early Breast Tumor Hemodynamic Responses to Metronomic and Maximum Tolerated Dose Regimens.”</w:t>
      </w:r>
      <w:r>
        <w:t xml:space="preserve"> </w:t>
      </w:r>
      <w:r>
        <w:rPr>
          <w:i/>
        </w:rPr>
        <w:t xml:space="preserve">Breast Cancer Research</w:t>
      </w:r>
      <w:r>
        <w:t xml:space="preserve"> </w:t>
      </w:r>
      <w:r>
        <w:t xml:space="preserve">22 (1): 1–10.</w:t>
      </w:r>
    </w:p>
    <w:bookmarkEnd w:id="33"/>
    <w:bookmarkStart w:id="34" w:name="ref-vishwanath2009"/>
    <w:p>
      <w:pPr>
        <w:pStyle w:val="Bibliography"/>
      </w:pPr>
      <w:r>
        <w:t xml:space="preserve">Vishwanath, Karthik, Hong Yuan, William T Barry, Mark W Dewhirst, and Nimmi Ramanujam. 2009. “Using Optical Spectroscopy to Longitudinally Monitor Physiological Changes Within Solid Tumors.”</w:t>
      </w:r>
      <w:r>
        <w:t xml:space="preserve"> </w:t>
      </w:r>
      <w:r>
        <w:rPr>
          <w:i/>
        </w:rPr>
        <w:t xml:space="preserve">Neoplasia</w:t>
      </w:r>
      <w:r>
        <w:t xml:space="preserve"> </w:t>
      </w:r>
      <w:r>
        <w:t xml:space="preserve">11 (9): 889–900.</w:t>
      </w:r>
    </w:p>
    <w:bookmarkEnd w:id="34"/>
    <w:bookmarkEnd w:id="35"/>
    <w:sectPr>
      <w:headerReference w:type="default" r:id="rId9"/>
      <w:footerReference w:type="default" r:id="rId10"/>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statistics for repeated measures</dc:title>
  <dc:creator>Ariel Mundo, John Tipton, Timothy Muldoon</dc:creator>
  <cp:keywords/>
  <dcterms:created xsi:type="dcterms:W3CDTF">2020-10-15T22:44:06Z</dcterms:created>
  <dcterms:modified xsi:type="dcterms:W3CDTF">2020-10-15T22:44:06Z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link-citations">
    <vt:lpwstr>yes</vt:lpwstr>
  </property>
  <property fmtid="{D5CDD505-2E9C-101B-9397-08002B2CF9AE}" pid="5" name="mainfont">
    <vt:lpwstr>Times New Roman</vt:lpwstr>
  </property>
  <property fmtid="{D5CDD505-2E9C-101B-9397-08002B2CF9AE}" pid="6" name="output">
    <vt:lpwstr/>
  </property>
  <property fmtid="{D5CDD505-2E9C-101B-9397-08002B2CF9AE}" pid="7" name="subtitle">
    <vt:lpwstr>Their application and use in biomedical research</vt:lpwstr>
  </property>
</Properties>
</file>