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460F7" w14:paraId="4163E7F0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1F3B5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F0C1ED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  <w:sz w:val="30"/>
                <w:szCs w:val="30"/>
              </w:rPr>
              <w:t>GRASP Brief — LMR Installation Feasibility Dashboard</w:t>
            </w:r>
          </w:p>
          <w:p w14:paraId="234C4E48" w14:textId="77777777" w:rsidR="00C460F7" w:rsidRDefault="00000000">
            <w:pPr>
              <w:spacing w:line="264" w:lineRule="auto"/>
            </w:pPr>
            <w:r>
              <w:rPr>
                <w:color w:val="CBD6E0"/>
                <w:sz w:val="18"/>
                <w:szCs w:val="18"/>
              </w:rPr>
              <w:t>Assignment 4</w:t>
            </w:r>
            <w:proofErr w:type="gramStart"/>
            <w:r>
              <w:rPr>
                <w:color w:val="CBD6E0"/>
                <w:sz w:val="18"/>
                <w:szCs w:val="18"/>
              </w:rPr>
              <w:t>A  ·</w:t>
            </w:r>
            <w:proofErr w:type="gramEnd"/>
            <w:r>
              <w:rPr>
                <w:color w:val="CBD6E0"/>
                <w:sz w:val="18"/>
                <w:szCs w:val="18"/>
              </w:rPr>
              <w:t xml:space="preserve">  New Code Project</w:t>
            </w:r>
          </w:p>
        </w:tc>
      </w:tr>
    </w:tbl>
    <w:p w14:paraId="30C5BC7A" w14:textId="77777777" w:rsidR="00C460F7" w:rsidRDefault="00000000">
      <w:pPr>
        <w:spacing w:after="160" w:line="264" w:lineRule="auto"/>
      </w:pPr>
      <w:r>
        <w:rPr>
          <w:i/>
          <w:iCs/>
          <w:color w:val="6B7480"/>
          <w:sz w:val="17"/>
          <w:szCs w:val="17"/>
        </w:rPr>
        <w:t>Prepared by Amy Weber, Member Services Manager · St. Croix Electric Cooperative</w:t>
      </w:r>
    </w:p>
    <w:tbl>
      <w:tblPr>
        <w:tblW w:w="9600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C9D2DB"/>
          <w:insideV w:val="single" w:sz="4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00"/>
      </w:tblGrid>
      <w:tr w:rsidR="00C460F7" w14:paraId="267E4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B5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DC6971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7500" w:type="dxa"/>
            <w:shd w:val="clear" w:color="auto" w:fill="1F3B5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C5D4B7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Response</w:t>
            </w:r>
          </w:p>
        </w:tc>
      </w:tr>
      <w:tr w:rsidR="00C460F7" w14:paraId="3AA85B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EADA0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1F3B57"/>
                <w:sz w:val="21"/>
                <w:szCs w:val="21"/>
              </w:rPr>
              <w:t>Goal</w:t>
            </w:r>
          </w:p>
          <w:p w14:paraId="00A7BCEE" w14:textId="77777777" w:rsidR="00C460F7" w:rsidRDefault="00000000">
            <w:pPr>
              <w:spacing w:after="40" w:line="264" w:lineRule="auto"/>
            </w:pPr>
            <w:r>
              <w:rPr>
                <w:i/>
                <w:iCs/>
                <w:color w:val="6B7480"/>
                <w:sz w:val="16"/>
                <w:szCs w:val="16"/>
              </w:rPr>
              <w:t>The result, not the steps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795DB" w14:textId="77777777" w:rsidR="00C460F7" w:rsidRDefault="00000000">
            <w:pPr>
              <w:spacing w:after="40" w:line="264" w:lineRule="auto"/>
            </w:pPr>
            <w:r>
              <w:rPr>
                <w:color w:val="222222"/>
              </w:rPr>
              <w:t xml:space="preserve">Determine whether the contractor's proposed budget of </w:t>
            </w:r>
            <w:r>
              <w:rPr>
                <w:b/>
                <w:bCs/>
                <w:color w:val="222222"/>
              </w:rPr>
              <w:t>$625,000</w:t>
            </w:r>
            <w:r>
              <w:rPr>
                <w:color w:val="222222"/>
              </w:rPr>
              <w:t xml:space="preserve"> and timeline (</w:t>
            </w:r>
            <w:r>
              <w:rPr>
                <w:b/>
                <w:bCs/>
                <w:color w:val="222222"/>
              </w:rPr>
              <w:t>2,500 LMRs installed in 24 months by 2 installers</w:t>
            </w:r>
            <w:r>
              <w:rPr>
                <w:color w:val="222222"/>
              </w:rPr>
              <w:t>) is realistic when measured against actual performance data from the pilot.</w:t>
            </w:r>
          </w:p>
          <w:p w14:paraId="440CD085" w14:textId="77777777" w:rsidR="00C460F7" w:rsidRDefault="00000000">
            <w:pPr>
              <w:spacing w:line="264" w:lineRule="auto"/>
            </w:pPr>
            <w:r>
              <w:rPr>
                <w:color w:val="222222"/>
              </w:rPr>
              <w:t xml:space="preserve">The customizable HTML dashboard is the </w:t>
            </w:r>
            <w:r>
              <w:rPr>
                <w:i/>
                <w:iCs/>
                <w:color w:val="222222"/>
              </w:rPr>
              <w:t>tool</w:t>
            </w:r>
            <w:r>
              <w:rPr>
                <w:color w:val="222222"/>
              </w:rPr>
              <w:t xml:space="preserve"> for reaching that decision — it lets management run scenarios against pilot data. The decision itself, not the dashboard, is the outcome.</w:t>
            </w:r>
          </w:p>
        </w:tc>
      </w:tr>
      <w:tr w:rsidR="00C460F7" w14:paraId="7D812C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8EE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BAE328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1F3B57"/>
                <w:sz w:val="21"/>
                <w:szCs w:val="21"/>
              </w:rPr>
              <w:t>Resources</w:t>
            </w:r>
          </w:p>
          <w:p w14:paraId="07A96E05" w14:textId="77777777" w:rsidR="00C460F7" w:rsidRDefault="00000000">
            <w:pPr>
              <w:spacing w:after="40" w:line="264" w:lineRule="auto"/>
            </w:pPr>
            <w:r>
              <w:rPr>
                <w:i/>
                <w:iCs/>
                <w:color w:val="6B7480"/>
                <w:sz w:val="16"/>
                <w:szCs w:val="16"/>
              </w:rPr>
              <w:t>Files, connectors, web</w:t>
            </w:r>
          </w:p>
        </w:tc>
        <w:tc>
          <w:tcPr>
            <w:tcW w:w="7500" w:type="dxa"/>
            <w:shd w:val="clear" w:color="auto" w:fill="E8EE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E6C4B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222222"/>
              </w:rPr>
              <w:t xml:space="preserve">Primary dataset: </w:t>
            </w:r>
            <w:r>
              <w:rPr>
                <w:i/>
                <w:iCs/>
                <w:color w:val="222222"/>
              </w:rPr>
              <w:t>LMR_Pilot_Combined_Dataset_rev2</w:t>
            </w:r>
            <w:r>
              <w:rPr>
                <w:color w:val="222222"/>
              </w:rPr>
              <w:t xml:space="preserve"> (attached spreadsheet).</w:t>
            </w:r>
          </w:p>
          <w:p w14:paraId="1ABD2EBF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222222"/>
              </w:rPr>
              <w:t xml:space="preserve">Contractor's proposed figures (summarized in this brief): </w:t>
            </w:r>
            <w:r>
              <w:rPr>
                <w:color w:val="222222"/>
              </w:rPr>
              <w:t>$625,000 total budget; 2,500 LMRs installed in 24 months with 2 installers; per-unit removal &amp; installation rates shown below.</w:t>
            </w:r>
          </w:p>
          <w:p w14:paraId="66B72363" w14:textId="77777777" w:rsidR="00C460F7" w:rsidRDefault="00000000">
            <w:pPr>
              <w:spacing w:after="120" w:line="264" w:lineRule="auto"/>
            </w:pPr>
            <w:r>
              <w:rPr>
                <w:b/>
                <w:bCs/>
                <w:color w:val="222222"/>
              </w:rPr>
              <w:t xml:space="preserve">Web use: </w:t>
            </w:r>
            <w:r>
              <w:rPr>
                <w:color w:val="222222"/>
              </w:rPr>
              <w:t>None. This is a closed-dataset analysis — all inputs come from the pilot spreadsheet and the contractor's stated figures.</w:t>
            </w:r>
          </w:p>
          <w:p w14:paraId="1AD56A2E" w14:textId="77777777" w:rsidR="00C460F7" w:rsidRDefault="00000000">
            <w:pPr>
              <w:spacing w:after="60" w:line="264" w:lineRule="auto"/>
            </w:pPr>
            <w:proofErr w:type="gramStart"/>
            <w:r>
              <w:rPr>
                <w:b/>
                <w:bCs/>
                <w:color w:val="1F3B57"/>
                <w:sz w:val="18"/>
                <w:szCs w:val="18"/>
              </w:rPr>
              <w:t>Contractor's</w:t>
            </w:r>
            <w:proofErr w:type="gramEnd"/>
            <w:r>
              <w:rPr>
                <w:b/>
                <w:bCs/>
                <w:color w:val="1F3B57"/>
                <w:sz w:val="18"/>
                <w:szCs w:val="18"/>
              </w:rPr>
              <w:t xml:space="preserve"> proposed per-unit rates:</w:t>
            </w:r>
          </w:p>
          <w:tbl>
            <w:tblPr>
              <w:tblW w:w="6900" w:type="dxa"/>
              <w:tblBorders>
                <w:top w:val="single" w:sz="4" w:space="0" w:color="C9D2DB"/>
                <w:left w:val="single" w:sz="4" w:space="0" w:color="C9D2DB"/>
                <w:bottom w:val="single" w:sz="4" w:space="0" w:color="C9D2DB"/>
                <w:right w:val="single" w:sz="4" w:space="0" w:color="C9D2DB"/>
                <w:insideH w:val="single" w:sz="4" w:space="0" w:color="C9D2DB"/>
                <w:insideV w:val="single" w:sz="4" w:space="0" w:color="C9D2DB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50"/>
              <w:gridCol w:w="3200"/>
              <w:gridCol w:w="1650"/>
            </w:tblGrid>
            <w:tr w:rsidR="00C460F7" w14:paraId="1FEFFA7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050" w:type="dxa"/>
                  <w:shd w:val="clear" w:color="auto" w:fill="B01C2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85718B1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LMR Type</w:t>
                  </w:r>
                </w:p>
              </w:tc>
              <w:tc>
                <w:tcPr>
                  <w:tcW w:w="3200" w:type="dxa"/>
                  <w:shd w:val="clear" w:color="auto" w:fill="B01C2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05AF7B3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Description</w:t>
                  </w:r>
                </w:p>
              </w:tc>
              <w:tc>
                <w:tcPr>
                  <w:tcW w:w="1650" w:type="dxa"/>
                  <w:shd w:val="clear" w:color="auto" w:fill="B01C2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CDD46C0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Est. Removal &amp; Install Cost</w:t>
                  </w:r>
                </w:p>
              </w:tc>
            </w:tr>
            <w:tr w:rsidR="00C460F7" w14:paraId="54F0A0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50" w:type="dxa"/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4692C81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>LMR-100 Standard Receiver</w:t>
                  </w:r>
                </w:p>
              </w:tc>
              <w:tc>
                <w:tcPr>
                  <w:tcW w:w="3200" w:type="dxa"/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1DD3950" w14:textId="77777777" w:rsidR="00C460F7" w:rsidRDefault="00000000">
                  <w:pPr>
                    <w:spacing w:after="40" w:line="264" w:lineRule="auto"/>
                  </w:pPr>
                  <w:r>
                    <w:rPr>
                      <w:color w:val="222222"/>
                      <w:sz w:val="16"/>
                      <w:szCs w:val="16"/>
                    </w:rPr>
                    <w:t>Standard residential/commercial receiver</w:t>
                  </w:r>
                </w:p>
              </w:tc>
              <w:tc>
                <w:tcPr>
                  <w:tcW w:w="1650" w:type="dxa"/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EEC93D7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B01C2E"/>
                      <w:sz w:val="16"/>
                      <w:szCs w:val="16"/>
                    </w:rPr>
                    <w:t>$200 / unit</w:t>
                  </w:r>
                </w:p>
              </w:tc>
            </w:tr>
            <w:tr w:rsidR="00C460F7" w14:paraId="4D70D1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50" w:type="dxa"/>
                  <w:shd w:val="clear" w:color="auto" w:fill="F4E7E9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E58C8A8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>LMR-200 Extended Range Receiver</w:t>
                  </w:r>
                </w:p>
              </w:tc>
              <w:tc>
                <w:tcPr>
                  <w:tcW w:w="3200" w:type="dxa"/>
                  <w:shd w:val="clear" w:color="auto" w:fill="F4E7E9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F16A49C" w14:textId="77777777" w:rsidR="00C460F7" w:rsidRDefault="00000000">
                  <w:pPr>
                    <w:spacing w:after="40" w:line="264" w:lineRule="auto"/>
                  </w:pPr>
                  <w:r>
                    <w:rPr>
                      <w:color w:val="222222"/>
                      <w:sz w:val="16"/>
                      <w:szCs w:val="16"/>
                    </w:rPr>
                    <w:t>Enhanced signal coverage receiver</w:t>
                  </w:r>
                </w:p>
              </w:tc>
              <w:tc>
                <w:tcPr>
                  <w:tcW w:w="1650" w:type="dxa"/>
                  <w:shd w:val="clear" w:color="auto" w:fill="F4E7E9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2B5A467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B01C2E"/>
                      <w:sz w:val="16"/>
                      <w:szCs w:val="16"/>
                    </w:rPr>
                    <w:t>$225 / unit</w:t>
                  </w:r>
                </w:p>
              </w:tc>
            </w:tr>
            <w:tr w:rsidR="00C460F7" w14:paraId="52E536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50" w:type="dxa"/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C32F22C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>LMR-300 Compact Receiver</w:t>
                  </w:r>
                </w:p>
              </w:tc>
              <w:tc>
                <w:tcPr>
                  <w:tcW w:w="3200" w:type="dxa"/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9818A34" w14:textId="77777777" w:rsidR="00C460F7" w:rsidRDefault="00000000">
                  <w:pPr>
                    <w:spacing w:after="40" w:line="264" w:lineRule="auto"/>
                  </w:pPr>
                  <w:r>
                    <w:rPr>
                      <w:color w:val="222222"/>
                      <w:sz w:val="16"/>
                      <w:szCs w:val="16"/>
                    </w:rPr>
                    <w:t>Small footprint receiver for limited-space installations</w:t>
                  </w:r>
                </w:p>
              </w:tc>
              <w:tc>
                <w:tcPr>
                  <w:tcW w:w="1650" w:type="dxa"/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99FCF6D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B01C2E"/>
                      <w:sz w:val="16"/>
                      <w:szCs w:val="16"/>
                    </w:rPr>
                    <w:t>$250 / unit</w:t>
                  </w:r>
                </w:p>
              </w:tc>
            </w:tr>
            <w:tr w:rsidR="00C460F7" w14:paraId="78A895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50" w:type="dxa"/>
                  <w:shd w:val="clear" w:color="auto" w:fill="F4E7E9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E6CA004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>LMR-400 Outdoor-Rated Receiver</w:t>
                  </w:r>
                </w:p>
              </w:tc>
              <w:tc>
                <w:tcPr>
                  <w:tcW w:w="3200" w:type="dxa"/>
                  <w:shd w:val="clear" w:color="auto" w:fill="F4E7E9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8438CC5" w14:textId="77777777" w:rsidR="00C460F7" w:rsidRDefault="00000000">
                  <w:pPr>
                    <w:spacing w:after="40" w:line="264" w:lineRule="auto"/>
                  </w:pPr>
                  <w:r>
                    <w:rPr>
                      <w:color w:val="222222"/>
                      <w:sz w:val="16"/>
                      <w:szCs w:val="16"/>
                    </w:rPr>
                    <w:t>Weather-resistant receiver for exterior installations</w:t>
                  </w:r>
                </w:p>
              </w:tc>
              <w:tc>
                <w:tcPr>
                  <w:tcW w:w="1650" w:type="dxa"/>
                  <w:shd w:val="clear" w:color="auto" w:fill="F4E7E9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27C612C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B01C2E"/>
                      <w:sz w:val="16"/>
                      <w:szCs w:val="16"/>
                    </w:rPr>
                    <w:t>$300 / unit</w:t>
                  </w:r>
                </w:p>
              </w:tc>
            </w:tr>
            <w:tr w:rsidR="00C460F7" w14:paraId="7676E9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50" w:type="dxa"/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673726C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>LMR-500 High-Capacity Receiver</w:t>
                  </w:r>
                </w:p>
              </w:tc>
              <w:tc>
                <w:tcPr>
                  <w:tcW w:w="3200" w:type="dxa"/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5F9A1D4" w14:textId="77777777" w:rsidR="00C460F7" w:rsidRDefault="00000000">
                  <w:pPr>
                    <w:spacing w:after="40" w:line="264" w:lineRule="auto"/>
                  </w:pPr>
                  <w:proofErr w:type="gramStart"/>
                  <w:r>
                    <w:rPr>
                      <w:color w:val="222222"/>
                      <w:sz w:val="16"/>
                      <w:szCs w:val="16"/>
                    </w:rPr>
                    <w:t>Receiver</w:t>
                  </w:r>
                  <w:proofErr w:type="gramEnd"/>
                  <w:r>
                    <w:rPr>
                      <w:color w:val="222222"/>
                      <w:sz w:val="16"/>
                      <w:szCs w:val="16"/>
                    </w:rPr>
                    <w:t xml:space="preserve"> supporting larger or complex sites</w:t>
                  </w:r>
                </w:p>
              </w:tc>
              <w:tc>
                <w:tcPr>
                  <w:tcW w:w="1650" w:type="dxa"/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4C220F4" w14:textId="77777777" w:rsidR="00C460F7" w:rsidRDefault="00000000">
                  <w:pPr>
                    <w:spacing w:after="40" w:line="264" w:lineRule="auto"/>
                  </w:pPr>
                  <w:r>
                    <w:rPr>
                      <w:b/>
                      <w:bCs/>
                      <w:color w:val="B01C2E"/>
                      <w:sz w:val="16"/>
                      <w:szCs w:val="16"/>
                    </w:rPr>
                    <w:t>$350 / unit</w:t>
                  </w:r>
                </w:p>
              </w:tc>
            </w:tr>
          </w:tbl>
          <w:p w14:paraId="4AE63B63" w14:textId="77777777" w:rsidR="00C460F7" w:rsidRDefault="00C460F7"/>
        </w:tc>
      </w:tr>
      <w:tr w:rsidR="00C460F7" w14:paraId="6C6CEA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E3E74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1F3B57"/>
                <w:sz w:val="21"/>
                <w:szCs w:val="21"/>
              </w:rPr>
              <w:t>Autonomy limits</w:t>
            </w:r>
          </w:p>
          <w:p w14:paraId="54CEC247" w14:textId="77777777" w:rsidR="00C460F7" w:rsidRDefault="00000000">
            <w:pPr>
              <w:spacing w:after="40" w:line="264" w:lineRule="auto"/>
            </w:pPr>
            <w:r>
              <w:rPr>
                <w:i/>
                <w:iCs/>
                <w:color w:val="6B7480"/>
                <w:sz w:val="16"/>
                <w:szCs w:val="16"/>
              </w:rPr>
              <w:t>Free vs. must-ask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000B57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222222"/>
              </w:rPr>
              <w:t xml:space="preserve">Free to decide: </w:t>
            </w:r>
            <w:r>
              <w:rPr>
                <w:color w:val="222222"/>
              </w:rPr>
              <w:t>the dashboard layout and visual format (must be easy to read); may ask me about what information to include and how to arrange it.</w:t>
            </w:r>
          </w:p>
          <w:p w14:paraId="6BBFD182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222222"/>
              </w:rPr>
              <w:t xml:space="preserve">Allowed calculations: </w:t>
            </w:r>
            <w:r>
              <w:rPr>
                <w:color w:val="222222"/>
              </w:rPr>
              <w:t>may compute the metrics that are core to the stated Goal — the pilot's per-installer install rate, projected completion dates, and budget roll-ups from the per-unit LMR costs — because these are the dashboard's stated purpose.</w:t>
            </w:r>
          </w:p>
          <w:p w14:paraId="38D55E50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222222"/>
              </w:rPr>
              <w:t xml:space="preserve">Off limits without </w:t>
            </w:r>
            <w:proofErr w:type="gramStart"/>
            <w:r>
              <w:rPr>
                <w:b/>
                <w:bCs/>
                <w:color w:val="222222"/>
              </w:rPr>
              <w:t>asking:</w:t>
            </w:r>
            <w:proofErr w:type="gramEnd"/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color w:val="222222"/>
              </w:rPr>
              <w:t xml:space="preserve">may not invent or compute </w:t>
            </w:r>
            <w:r>
              <w:rPr>
                <w:i/>
                <w:iCs/>
                <w:color w:val="222222"/>
              </w:rPr>
              <w:t>new</w:t>
            </w:r>
            <w:r>
              <w:rPr>
                <w:color w:val="222222"/>
              </w:rPr>
              <w:t xml:space="preserve"> derived metrics or data interpretations beyond those above (for example, a productivity-decay curve or a weather-adjusted rate). Any interpretation not specified here requires my approval first.</w:t>
            </w:r>
          </w:p>
          <w:p w14:paraId="6C900717" w14:textId="77777777" w:rsidR="00C460F7" w:rsidRDefault="00000000">
            <w:pPr>
              <w:spacing w:line="264" w:lineRule="auto"/>
            </w:pPr>
            <w:r>
              <w:rPr>
                <w:b/>
                <w:bCs/>
                <w:color w:val="222222"/>
              </w:rPr>
              <w:t xml:space="preserve">Irreversible actions: </w:t>
            </w:r>
            <w:r>
              <w:rPr>
                <w:color w:val="222222"/>
              </w:rPr>
              <w:t>must stop and ask for verification before making any change that cannot be undone.</w:t>
            </w:r>
          </w:p>
        </w:tc>
      </w:tr>
      <w:tr w:rsidR="00C460F7" w14:paraId="779943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8EE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59EA87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1F3B57"/>
                <w:sz w:val="21"/>
                <w:szCs w:val="21"/>
              </w:rPr>
              <w:t>Sign-off point</w:t>
            </w:r>
          </w:p>
          <w:p w14:paraId="7986FF80" w14:textId="77777777" w:rsidR="00C460F7" w:rsidRDefault="00000000">
            <w:pPr>
              <w:spacing w:after="40" w:line="264" w:lineRule="auto"/>
            </w:pPr>
            <w:r>
              <w:rPr>
                <w:i/>
                <w:iCs/>
                <w:color w:val="6B7480"/>
                <w:sz w:val="16"/>
                <w:szCs w:val="16"/>
              </w:rPr>
              <w:t>Where you check</w:t>
            </w:r>
          </w:p>
        </w:tc>
        <w:tc>
          <w:tcPr>
            <w:tcW w:w="7500" w:type="dxa"/>
            <w:shd w:val="clear" w:color="auto" w:fill="E8EE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4D61F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222222"/>
              </w:rPr>
              <w:t xml:space="preserve">Tier: </w:t>
            </w:r>
            <w:r>
              <w:rPr>
                <w:b/>
                <w:bCs/>
                <w:color w:val="B01C2E"/>
              </w:rPr>
              <w:t>Consequential, still internal</w:t>
            </w:r>
            <w:r>
              <w:rPr>
                <w:color w:val="222222"/>
              </w:rPr>
              <w:t xml:space="preserve"> (Table 1, Simple Sizing Framework).</w:t>
            </w:r>
          </w:p>
          <w:p w14:paraId="13975096" w14:textId="688C44B6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222222"/>
              </w:rPr>
              <w:t xml:space="preserve">Rationale: </w:t>
            </w:r>
            <w:r>
              <w:rPr>
                <w:color w:val="222222"/>
              </w:rPr>
              <w:t xml:space="preserve">although the work involves budget and timeline figures, its output stays within management as a decision-support tool rather than leaving the building. Per that tier's oversight standard — “let it run, then review closely before anyone acts on it” — </w:t>
            </w:r>
            <w:r>
              <w:rPr>
                <w:color w:val="222222"/>
              </w:rPr>
              <w:lastRenderedPageBreak/>
              <w:t>the assistant may build the dashboard autonomously, but I review the completed work before any figure informs a real decision. (I appl</w:t>
            </w:r>
            <w:r w:rsidR="000F4F04">
              <w:rPr>
                <w:color w:val="222222"/>
              </w:rPr>
              <w:t>ied</w:t>
            </w:r>
            <w:r>
              <w:rPr>
                <w:color w:val="222222"/>
              </w:rPr>
              <w:t xml:space="preserve"> tighter, top-tier caution specifically to any irreversible action.)</w:t>
            </w:r>
          </w:p>
          <w:p w14:paraId="2EFB3E7E" w14:textId="77777777" w:rsidR="00C460F7" w:rsidRDefault="00000000">
            <w:pPr>
              <w:spacing w:line="264" w:lineRule="auto"/>
            </w:pPr>
            <w:r>
              <w:rPr>
                <w:b/>
                <w:bCs/>
                <w:color w:val="222222"/>
              </w:rPr>
              <w:t xml:space="preserve">Checkpoint: </w:t>
            </w:r>
            <w:r>
              <w:rPr>
                <w:color w:val="222222"/>
              </w:rPr>
              <w:t>dashboard contains 50 installations, shows the install accuracy rate, and includes a reconciliation panel comparing the pilot's actual results against the contractor's proposed rates.</w:t>
            </w:r>
          </w:p>
        </w:tc>
      </w:tr>
      <w:tr w:rsidR="00C460F7" w14:paraId="141ED6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D31D4" w14:textId="77777777" w:rsidR="00C460F7" w:rsidRDefault="00000000">
            <w:pPr>
              <w:spacing w:after="40" w:line="264" w:lineRule="auto"/>
            </w:pPr>
            <w:r>
              <w:rPr>
                <w:b/>
                <w:bCs/>
                <w:color w:val="1F3B57"/>
                <w:sz w:val="21"/>
                <w:szCs w:val="21"/>
              </w:rPr>
              <w:lastRenderedPageBreak/>
              <w:t>Proof</w:t>
            </w:r>
          </w:p>
          <w:p w14:paraId="53FD62DD" w14:textId="77777777" w:rsidR="00C460F7" w:rsidRDefault="00000000">
            <w:pPr>
              <w:spacing w:after="40" w:line="264" w:lineRule="auto"/>
            </w:pPr>
            <w:r>
              <w:rPr>
                <w:i/>
                <w:iCs/>
                <w:color w:val="6B7480"/>
                <w:sz w:val="16"/>
                <w:szCs w:val="16"/>
              </w:rPr>
              <w:t>How you know it worked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C691C0" w14:textId="4E9A2554" w:rsidR="00C460F7" w:rsidRDefault="00000000">
            <w:pPr>
              <w:spacing w:after="40" w:line="264" w:lineRule="auto"/>
            </w:pPr>
            <w:r>
              <w:rPr>
                <w:color w:val="222222"/>
              </w:rPr>
              <w:t xml:space="preserve">The dashboard uses the actual pilot datasets with accurate success rates </w:t>
            </w:r>
            <w:r w:rsidR="000F4F04">
              <w:rPr>
                <w:color w:val="222222"/>
              </w:rPr>
              <w:t>shown and</w:t>
            </w:r>
            <w:r>
              <w:rPr>
                <w:color w:val="222222"/>
              </w:rPr>
              <w:t xml:space="preserve"> recalculates correctly when a scenario input changes.</w:t>
            </w:r>
          </w:p>
          <w:p w14:paraId="6ED247F1" w14:textId="77777777" w:rsidR="00C460F7" w:rsidRDefault="00000000">
            <w:pPr>
              <w:spacing w:line="264" w:lineRule="auto"/>
            </w:pPr>
            <w:r>
              <w:rPr>
                <w:b/>
                <w:bCs/>
                <w:color w:val="222222"/>
              </w:rPr>
              <w:t xml:space="preserve">Test case: </w:t>
            </w:r>
            <w:r>
              <w:rPr>
                <w:color w:val="222222"/>
              </w:rPr>
              <w:t xml:space="preserve">changing the number of installers from </w:t>
            </w:r>
            <w:r>
              <w:rPr>
                <w:b/>
                <w:bCs/>
                <w:color w:val="222222"/>
              </w:rPr>
              <w:t>2 to 3</w:t>
            </w:r>
            <w:r>
              <w:rPr>
                <w:color w:val="222222"/>
              </w:rPr>
              <w:t xml:space="preserve"> updates the projected completion date using the pilot's per-installer install rate. If the projected date shortens in proportion to the added installer, the scenario engine works; if the date does not move, it does not.</w:t>
            </w:r>
          </w:p>
        </w:tc>
      </w:tr>
    </w:tbl>
    <w:p w14:paraId="7E198535" w14:textId="77777777" w:rsidR="00C460F7" w:rsidRDefault="00C460F7">
      <w:pPr>
        <w:spacing w:after="40" w:line="264" w:lineRule="auto"/>
      </w:pPr>
    </w:p>
    <w:tbl>
      <w:tblPr>
        <w:tblW w:w="9600" w:type="dxa"/>
        <w:tblBorders>
          <w:top w:val="single" w:sz="12" w:space="0" w:color="B01C2E"/>
          <w:left w:val="single" w:sz="4" w:space="0" w:color="C9D2DB"/>
          <w:bottom w:val="single" w:sz="4" w:space="0" w:color="C9D2DB"/>
          <w:right w:val="single" w:sz="4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460F7" w14:paraId="22416E40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BFC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845FB" w14:textId="77777777" w:rsidR="00C460F7" w:rsidRDefault="00000000">
            <w:pPr>
              <w:spacing w:line="264" w:lineRule="auto"/>
            </w:pPr>
            <w:r>
              <w:rPr>
                <w:b/>
                <w:bCs/>
                <w:color w:val="B01C2E"/>
              </w:rPr>
              <w:t xml:space="preserve">Note on one decision I made: </w:t>
            </w:r>
            <w:r>
              <w:rPr>
                <w:color w:val="222222"/>
              </w:rPr>
              <w:t xml:space="preserve">The Autonomy row separates calculations that are core to the Goal (per-installer rate, completion dates, budget roll-ups — </w:t>
            </w:r>
            <w:r>
              <w:rPr>
                <w:b/>
                <w:bCs/>
                <w:color w:val="222222"/>
                <w:highlight w:val="yellow"/>
              </w:rPr>
              <w:t>allowed</w:t>
            </w:r>
            <w:r>
              <w:rPr>
                <w:color w:val="222222"/>
              </w:rPr>
              <w:t>) from brand-new interpretations I didn't request (</w:t>
            </w:r>
            <w:r>
              <w:rPr>
                <w:b/>
                <w:bCs/>
                <w:color w:val="222222"/>
                <w:highlight w:val="yellow"/>
              </w:rPr>
              <w:t>must ask first</w:t>
            </w:r>
            <w:r>
              <w:rPr>
                <w:color w:val="222222"/>
              </w:rPr>
              <w:t>). A flat “no derived metrics” would have blocked the very scenario math the dashboard exists to do. Adjust this line if you'd rather draw the boundary somewhere else.</w:t>
            </w:r>
          </w:p>
        </w:tc>
      </w:tr>
    </w:tbl>
    <w:p w14:paraId="432F4C57" w14:textId="77777777" w:rsidR="004C41FB" w:rsidRDefault="004C41FB"/>
    <w:sectPr w:rsidR="004C41F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5309D"/>
    <w:multiLevelType w:val="hybridMultilevel"/>
    <w:tmpl w:val="497EE5B6"/>
    <w:lvl w:ilvl="0" w:tplc="0EA06A12">
      <w:start w:val="1"/>
      <w:numFmt w:val="bullet"/>
      <w:lvlText w:val="●"/>
      <w:lvlJc w:val="left"/>
      <w:pPr>
        <w:ind w:left="720" w:hanging="360"/>
      </w:pPr>
    </w:lvl>
    <w:lvl w:ilvl="1" w:tplc="C86A3E2E">
      <w:start w:val="1"/>
      <w:numFmt w:val="bullet"/>
      <w:lvlText w:val="○"/>
      <w:lvlJc w:val="left"/>
      <w:pPr>
        <w:ind w:left="1440" w:hanging="360"/>
      </w:pPr>
    </w:lvl>
    <w:lvl w:ilvl="2" w:tplc="B728F78C">
      <w:start w:val="1"/>
      <w:numFmt w:val="bullet"/>
      <w:lvlText w:val="■"/>
      <w:lvlJc w:val="left"/>
      <w:pPr>
        <w:ind w:left="2160" w:hanging="360"/>
      </w:pPr>
    </w:lvl>
    <w:lvl w:ilvl="3" w:tplc="3A7ABB5A">
      <w:start w:val="1"/>
      <w:numFmt w:val="bullet"/>
      <w:lvlText w:val="●"/>
      <w:lvlJc w:val="left"/>
      <w:pPr>
        <w:ind w:left="2880" w:hanging="360"/>
      </w:pPr>
    </w:lvl>
    <w:lvl w:ilvl="4" w:tplc="16621542">
      <w:start w:val="1"/>
      <w:numFmt w:val="bullet"/>
      <w:lvlText w:val="○"/>
      <w:lvlJc w:val="left"/>
      <w:pPr>
        <w:ind w:left="3600" w:hanging="360"/>
      </w:pPr>
    </w:lvl>
    <w:lvl w:ilvl="5" w:tplc="C25CD666">
      <w:start w:val="1"/>
      <w:numFmt w:val="bullet"/>
      <w:lvlText w:val="■"/>
      <w:lvlJc w:val="left"/>
      <w:pPr>
        <w:ind w:left="4320" w:hanging="360"/>
      </w:pPr>
    </w:lvl>
    <w:lvl w:ilvl="6" w:tplc="9EA6DF28">
      <w:start w:val="1"/>
      <w:numFmt w:val="bullet"/>
      <w:lvlText w:val="●"/>
      <w:lvlJc w:val="left"/>
      <w:pPr>
        <w:ind w:left="5040" w:hanging="360"/>
      </w:pPr>
    </w:lvl>
    <w:lvl w:ilvl="7" w:tplc="C35C1AB6">
      <w:start w:val="1"/>
      <w:numFmt w:val="bullet"/>
      <w:lvlText w:val="●"/>
      <w:lvlJc w:val="left"/>
      <w:pPr>
        <w:ind w:left="5760" w:hanging="360"/>
      </w:pPr>
    </w:lvl>
    <w:lvl w:ilvl="8" w:tplc="0392394C">
      <w:start w:val="1"/>
      <w:numFmt w:val="bullet"/>
      <w:lvlText w:val="●"/>
      <w:lvlJc w:val="left"/>
      <w:pPr>
        <w:ind w:left="6480" w:hanging="360"/>
      </w:pPr>
    </w:lvl>
  </w:abstractNum>
  <w:num w:numId="1" w16cid:durableId="1627158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0F7"/>
    <w:rsid w:val="00026D05"/>
    <w:rsid w:val="000F4F04"/>
    <w:rsid w:val="003A13F2"/>
    <w:rsid w:val="004C41FB"/>
    <w:rsid w:val="00C4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562BE"/>
  <w15:docId w15:val="{B6502E77-FE69-4B87-815A-A064BCCC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589</Words>
  <Characters>3361</Characters>
  <Application>Microsoft Office Word</Application>
  <DocSecurity>0</DocSecurity>
  <Lines>67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Amy Weber</cp:lastModifiedBy>
  <cp:revision>2</cp:revision>
  <dcterms:created xsi:type="dcterms:W3CDTF">2026-07-31T19:23:00Z</dcterms:created>
  <dcterms:modified xsi:type="dcterms:W3CDTF">2026-07-31T21:12:00Z</dcterms:modified>
</cp:coreProperties>
</file>