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60" w:before="0"/>
        <w:jc w:val="center"/>
      </w:pPr>
      <w:r>
        <w:rPr>
          <w:rFonts w:ascii="Arial" w:cs="Arial" w:eastAsia="Arial" w:hAnsi="Arial"/>
          <w:b/>
          <w:bCs/>
          <w:color w:val="6B7280"/>
          <w:sz w:val="20"/>
          <w:szCs w:val="20"/>
        </w:rPr>
        <w:t xml:space="preserve">129KNOTS PTE LTD</w:t>
      </w:r>
    </w:p>
    <w:p>
      <w:pPr>
        <w:spacing w:after="240" w:before="0"/>
      </w:pPr>
      <w:r>
        <w:t xml:space="preserve"/>
      </w:r>
    </w:p>
    <w:p>
      <w:pPr>
        <w:spacing w:after="80" w:before="0"/>
        <w:jc w:val="center"/>
      </w:pPr>
      <w:r>
        <w:rPr>
          <w:rFonts w:ascii="Arial" w:cs="Arial" w:eastAsia="Arial" w:hAnsi="Arial"/>
          <w:b/>
          <w:bCs/>
          <w:color w:val="1B3A5C"/>
          <w:sz w:val="56"/>
          <w:szCs w:val="56"/>
        </w:rPr>
        <w:t xml:space="preserve">BDN Validation System</w:t>
      </w:r>
    </w:p>
    <w:p>
      <w:pPr>
        <w:spacing w:after="160" w:before="0"/>
        <w:jc w:val="center"/>
      </w:pPr>
      <w:r>
        <w:rPr>
          <w:rFonts w:ascii="Arial" w:cs="Arial" w:eastAsia="Arial" w:hAnsi="Arial"/>
          <w:i/>
          <w:iCs/>
          <w:color w:val="0F6E56"/>
          <w:sz w:val="28"/>
          <w:szCs w:val="28"/>
        </w:rPr>
        <w:t xml:space="preserve">Automated Maritime Fraud Detection &amp; Compliance Pipeline</w:t>
      </w:r>
    </w:p>
    <w:p>
      <w:pPr>
        <w:spacing w:after="120" w:before="0"/>
      </w:pPr>
      <w:r>
        <w:t xml:space="preserve"/>
      </w:r>
    </w:p>
    <w:p>
      <w:pPr>
        <w:pBdr>
          <w:top w:val="single" w:color="1B3A5C" w:sz="4"/>
        </w:pBdr>
        <w:spacing w:after="60" w:before="0"/>
        <w:jc w:val="center"/>
      </w:pPr>
      <w:r>
        <w:t xml:space="preserve"/>
      </w:r>
    </w:p>
    <w:p>
      <w:pPr>
        <w:spacing w:after="200" w:before="0"/>
      </w:pPr>
      <w:r>
        <w:t xml:space="preserve"/>
      </w:r>
    </w:p>
    <w:p>
      <w:pPr>
        <w:spacing w:after="100" w:before="0"/>
        <w:jc w:val="center"/>
      </w:pPr>
      <w:r>
        <w:rPr>
          <w:rFonts w:ascii="Arial" w:cs="Arial" w:eastAsia="Arial" w:hAnsi="Arial"/>
          <w:b/>
          <w:bCs/>
          <w:color w:val="1B3A5C"/>
          <w:sz w:val="22"/>
          <w:szCs w:val="22"/>
        </w:rPr>
        <w:t xml:space="preserve">Project Type:  </w:t>
      </w:r>
      <w:r>
        <w:rPr>
          <w:rFonts w:ascii="Arial" w:cs="Arial" w:eastAsia="Arial" w:hAnsi="Arial"/>
          <w:color w:val="4A4A4A"/>
          <w:sz w:val="22"/>
          <w:szCs w:val="22"/>
        </w:rPr>
        <w:t xml:space="preserve">Software Development — Maritime Compliance Technology</w:t>
      </w:r>
    </w:p>
    <w:p>
      <w:pPr>
        <w:spacing w:after="100" w:before="0"/>
        <w:jc w:val="center"/>
      </w:pPr>
      <w:r>
        <w:rPr>
          <w:rFonts w:ascii="Arial" w:cs="Arial" w:eastAsia="Arial" w:hAnsi="Arial"/>
          <w:b/>
          <w:bCs/>
          <w:color w:val="1B3A5C"/>
          <w:sz w:val="22"/>
          <w:szCs w:val="22"/>
        </w:rPr>
        <w:t xml:space="preserve">Report Version:  </w:t>
      </w:r>
      <w:r>
        <w:rPr>
          <w:rFonts w:ascii="Arial" w:cs="Arial" w:eastAsia="Arial" w:hAnsi="Arial"/>
          <w:color w:val="4A4A4A"/>
          <w:sz w:val="22"/>
          <w:szCs w:val="22"/>
        </w:rPr>
        <w:t xml:space="preserve">v1.0  (Final)</w:t>
      </w:r>
    </w:p>
    <w:p>
      <w:pPr>
        <w:spacing w:after="100" w:before="0"/>
        <w:jc w:val="center"/>
      </w:pPr>
      <w:r>
        <w:rPr>
          <w:rFonts w:ascii="Arial" w:cs="Arial" w:eastAsia="Arial" w:hAnsi="Arial"/>
          <w:b/>
          <w:bCs/>
          <w:color w:val="1B3A5C"/>
          <w:sz w:val="22"/>
          <w:szCs w:val="22"/>
        </w:rPr>
        <w:t xml:space="preserve">Submission Date:  </w:t>
      </w:r>
      <w:r>
        <w:rPr>
          <w:rFonts w:ascii="Arial" w:cs="Arial" w:eastAsia="Arial" w:hAnsi="Arial"/>
          <w:color w:val="4A4A4A"/>
          <w:sz w:val="22"/>
          <w:szCs w:val="22"/>
        </w:rPr>
        <w:t xml:space="preserve">July 2026</w:t>
      </w:r>
    </w:p>
    <w:p>
      <w:pPr>
        <w:spacing w:after="100" w:before="0"/>
        <w:jc w:val="center"/>
      </w:pPr>
      <w:r>
        <w:rPr>
          <w:rFonts w:ascii="Arial" w:cs="Arial" w:eastAsia="Arial" w:hAnsi="Arial"/>
          <w:b/>
          <w:bCs/>
          <w:color w:val="1B3A5C"/>
          <w:sz w:val="22"/>
          <w:szCs w:val="22"/>
        </w:rPr>
        <w:t xml:space="preserve">Prepared by:  </w:t>
      </w:r>
      <w:r>
        <w:rPr>
          <w:rFonts w:ascii="Arial" w:cs="Arial" w:eastAsia="Arial" w:hAnsi="Arial"/>
          <w:color w:val="4A4A4A"/>
          <w:sz w:val="22"/>
          <w:szCs w:val="22"/>
        </w:rPr>
        <w:t xml:space="preserve">129Knots Development Team</w:t>
      </w:r>
    </w:p>
    <w:p>
      <w:pPr>
        <w:spacing w:after="100" w:before="0"/>
        <w:jc w:val="center"/>
      </w:pPr>
      <w:r>
        <w:rPr>
          <w:rFonts w:ascii="Arial" w:cs="Arial" w:eastAsia="Arial" w:hAnsi="Arial"/>
          <w:b/>
          <w:bCs/>
          <w:color w:val="1B3A5C"/>
          <w:sz w:val="22"/>
          <w:szCs w:val="22"/>
        </w:rPr>
        <w:t xml:space="preserve">Classification:  </w:t>
      </w:r>
      <w:r>
        <w:rPr>
          <w:rFonts w:ascii="Arial" w:cs="Arial" w:eastAsia="Arial" w:hAnsi="Arial"/>
          <w:color w:val="4A4A4A"/>
          <w:sz w:val="22"/>
          <w:szCs w:val="22"/>
        </w:rPr>
        <w:t xml:space="preserve">CONFIDENTIAL</w:t>
      </w:r>
    </w:p>
    <w:p>
      <w:pPr>
        <w:spacing w:after="200" w:before="0"/>
      </w:pPr>
      <w:r>
        <w:t xml:space="preserve"/>
      </w:r>
    </w:p>
    <w:p>
      <w:pPr>
        <w:pBdr>
          <w:bottom w:val="single" w:color="1B3A5C" w:sz="4"/>
        </w:pBdr>
        <w:spacing w:after="0" w:before="0"/>
        <w:jc w:val="center"/>
      </w:pPr>
      <w:r>
        <w:t xml:space="preserve"/>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1. Executive Summary</w:t>
      </w:r>
    </w:p>
    <w:p>
      <w:pPr>
        <w:spacing w:after="160" w:before="0"/>
        <w:jc w:val="left"/>
      </w:pPr>
      <w:r>
        <w:rPr>
          <w:rFonts w:ascii="Arial" w:cs="Arial" w:eastAsia="Arial" w:hAnsi="Arial"/>
          <w:b w:val="false"/>
          <w:bCs w:val="false"/>
          <w:i w:val="false"/>
          <w:iCs w:val="false"/>
          <w:color w:val="4A4A4A"/>
          <w:sz w:val="22"/>
          <w:szCs w:val="22"/>
        </w:rPr>
        <w:t xml:space="preserve">The 129Knots BDN Validation System is an end-to-end automated pipeline designed to detect maritime fraud and verify regulatory compliance in Bunker Delivery Notes (BDNs). The system ingests raw BDN documents in any format — digital PDF or handwritten scan — and produces a structured verdict with a 0–100% confidence score within 5–20 seconds.</w:t>
      </w:r>
    </w:p>
    <w:p>
      <w:pPr>
        <w:spacing w:after="160" w:before="0"/>
        <w:jc w:val="left"/>
      </w:pPr>
      <w:r>
        <w:rPr>
          <w:rFonts w:ascii="Arial" w:cs="Arial" w:eastAsia="Arial" w:hAnsi="Arial"/>
          <w:b w:val="false"/>
          <w:bCs w:val="false"/>
          <w:i w:val="false"/>
          <w:iCs w:val="false"/>
          <w:color w:val="4A4A4A"/>
          <w:sz w:val="22"/>
          <w:szCs w:val="22"/>
        </w:rPr>
        <w:t xml:space="preserve">The platform combines Optical Character Recognition (OCR), vessel and barge identity resolution against external maritime registries, AIS (Automatic Identification System) geolocation verification, MARPOL Annex VI fuel compliance checks, and an ML-based anomaly detector into a single 9-phase pipeline exposed via a FastAPI REST interface and a browser-based investigation dashboard.</w:t>
      </w:r>
    </w:p>
    <w:p>
      <w:pPr>
        <w:spacing w:after="160" w:before="0"/>
        <w:jc w:val="left"/>
      </w:pPr>
      <w:r>
        <w:rPr>
          <w:rFonts w:ascii="Arial" w:cs="Arial" w:eastAsia="Arial" w:hAnsi="Arial"/>
          <w:b w:val="false"/>
          <w:bCs w:val="false"/>
          <w:i w:val="false"/>
          <w:iCs w:val="false"/>
          <w:color w:val="4A4A4A"/>
          <w:sz w:val="22"/>
          <w:szCs w:val="22"/>
        </w:rPr>
        <w:t xml:space="preserve">The system was developed from May 2026 through July 2026 and is currently production-ready for pilot deployment.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Attribute</w:t>
            </w:r>
          </w:p>
        </w:tc>
        <w:tc>
          <w:tcPr>
            <w:tcW w:type="dxa" w:w="6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Pipeline Phases</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9 automated validation stages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Verdict Levels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5 (Valid, Suspicious, High Risk, Approved, Rejected)</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Document Types</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Digital PDF, handwritten / scanned image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OCR Engine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Tesseract 5 with multi-PSM ensemble + CLAHE preprocessing</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Registry Integrations</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Datalastic vessel registry, MPA barge registry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Compliance Standard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MARPOL Annex VI (sulphur, flashpoint, density, viscosity)</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Database</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PostgreSQL via SQLAlchemy ORM + Alembic migrations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Deployment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FastAPI + Uvicorn; offline / demo mode available</w:t>
            </w:r>
          </w:p>
        </w:tc>
      </w:tr>
    </w:tbl>
    <w:p>
      <w:pPr>
        <w:spacing w:after="160" w:before="0"/>
      </w:pPr>
      <w:r>
        <w:t xml:space="preserve"/>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2. Project Objectives</w:t>
      </w:r>
    </w:p>
    <w:p>
      <w:pPr>
        <w:spacing w:after="120" w:before="0"/>
        <w:jc w:val="left"/>
      </w:pPr>
      <w:r>
        <w:rPr>
          <w:rFonts w:ascii="Arial" w:cs="Arial" w:eastAsia="Arial" w:hAnsi="Arial"/>
          <w:b w:val="false"/>
          <w:bCs w:val="false"/>
          <w:i w:val="false"/>
          <w:iCs w:val="false"/>
          <w:color w:val="4A4A4A"/>
          <w:sz w:val="22"/>
          <w:szCs w:val="22"/>
        </w:rPr>
        <w:t xml:space="preserve">The BDN Validation System was commissioned to address a critical gap in maritime bunkering operations: the manual, time-intensive, and error-prone process of verifying Bunker Delivery Notes against physical evidence. The project objectives were defined as follows:</w:t>
      </w:r>
    </w:p>
    <w:p>
      <w:pPr>
        <w:pStyle w:val="Heading2"/>
        <w:spacing w:after="120" w:before="280"/>
      </w:pPr>
      <w:r>
        <w:rPr>
          <w:rFonts w:ascii="Arial" w:cs="Arial" w:eastAsia="Arial" w:hAnsi="Arial"/>
          <w:b/>
          <w:bCs/>
          <w:color w:val="0F6E56"/>
          <w:sz w:val="26"/>
          <w:szCs w:val="26"/>
        </w:rPr>
        <w:t xml:space="preserve">2.1 Primary Objectives</w:t>
      </w:r>
    </w:p>
    <w:p>
      <w:pPr>
        <w:pStyle w:val="ListParagraph"/>
        <w:numPr>
          <w:ilvl w:val="0"/>
          <w:numId w:val="2"/>
        </w:numPr>
        <w:spacing w:after="80" w:before="40"/>
      </w:pPr>
      <w:r>
        <w:rPr>
          <w:rFonts w:ascii="Arial" w:cs="Arial" w:eastAsia="Arial" w:hAnsi="Arial"/>
          <w:color w:val="4A4A4A"/>
          <w:sz w:val="22"/>
          <w:szCs w:val="22"/>
        </w:rPr>
        <w:t xml:space="preserve">Automate extraction of all key fields from BDN documents regardless of format (printed, handwritten, scanned).</w:t>
      </w:r>
    </w:p>
    <w:p>
      <w:pPr>
        <w:pStyle w:val="ListParagraph"/>
        <w:numPr>
          <w:ilvl w:val="0"/>
          <w:numId w:val="2"/>
        </w:numPr>
        <w:spacing w:after="80" w:before="40"/>
      </w:pPr>
      <w:r>
        <w:rPr>
          <w:rFonts w:ascii="Arial" w:cs="Arial" w:eastAsia="Arial" w:hAnsi="Arial"/>
          <w:color w:val="4A4A4A"/>
          <w:sz w:val="22"/>
          <w:szCs w:val="22"/>
        </w:rPr>
        <w:t xml:space="preserve">Cross-reference extracted vessel and barge identities against authoritative maritime registries.</w:t>
      </w:r>
    </w:p>
    <w:p>
      <w:pPr>
        <w:pStyle w:val="ListParagraph"/>
        <w:numPr>
          <w:ilvl w:val="0"/>
          <w:numId w:val="2"/>
        </w:numPr>
        <w:spacing w:after="80" w:before="40"/>
      </w:pPr>
      <w:r>
        <w:rPr>
          <w:rFonts w:ascii="Arial" w:cs="Arial" w:eastAsia="Arial" w:hAnsi="Arial"/>
          <w:color w:val="4A4A4A"/>
          <w:sz w:val="22"/>
          <w:szCs w:val="22"/>
        </w:rPr>
        <w:t xml:space="preserve">Verify physical presence of vessel and barge at the declared port during the declared delivery window using AIS telemetry.</w:t>
      </w:r>
    </w:p>
    <w:p>
      <w:pPr>
        <w:pStyle w:val="ListParagraph"/>
        <w:numPr>
          <w:ilvl w:val="0"/>
          <w:numId w:val="2"/>
        </w:numPr>
        <w:spacing w:after="80" w:before="40"/>
      </w:pPr>
      <w:r>
        <w:rPr>
          <w:rFonts w:ascii="Arial" w:cs="Arial" w:eastAsia="Arial" w:hAnsi="Arial"/>
          <w:color w:val="4A4A4A"/>
          <w:sz w:val="22"/>
          <w:szCs w:val="22"/>
        </w:rPr>
        <w:t xml:space="preserve">Detect fraud patterns including duplicate BDNs, AIS dark periods, identity spoofing, quantity infeasibility, and document tampering.</w:t>
      </w:r>
    </w:p>
    <w:p>
      <w:pPr>
        <w:pStyle w:val="ListParagraph"/>
        <w:numPr>
          <w:ilvl w:val="0"/>
          <w:numId w:val="2"/>
        </w:numPr>
        <w:spacing w:after="80" w:before="40"/>
      </w:pPr>
      <w:r>
        <w:rPr>
          <w:rFonts w:ascii="Arial" w:cs="Arial" w:eastAsia="Arial" w:hAnsi="Arial"/>
          <w:color w:val="4A4A4A"/>
          <w:sz w:val="22"/>
          <w:szCs w:val="22"/>
        </w:rPr>
        <w:t xml:space="preserve">Enforce MARPOL Annex VI compliance by checking extracted fuel chemistry data against regulatory limits.</w:t>
      </w:r>
    </w:p>
    <w:p>
      <w:pPr>
        <w:pStyle w:val="ListParagraph"/>
        <w:numPr>
          <w:ilvl w:val="0"/>
          <w:numId w:val="2"/>
        </w:numPr>
        <w:spacing w:after="80" w:before="40"/>
      </w:pPr>
      <w:r>
        <w:rPr>
          <w:rFonts w:ascii="Arial" w:cs="Arial" w:eastAsia="Arial" w:hAnsi="Arial"/>
          <w:color w:val="4A4A4A"/>
          <w:sz w:val="22"/>
          <w:szCs w:val="22"/>
        </w:rPr>
        <w:t xml:space="preserve">Produce a quantified, explainable confidence score and structured verdict for every submission.</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2.2 Secondary Objectives</w:t>
      </w:r>
    </w:p>
    <w:p>
      <w:pPr>
        <w:pStyle w:val="ListParagraph"/>
        <w:numPr>
          <w:ilvl w:val="0"/>
          <w:numId w:val="2"/>
        </w:numPr>
        <w:spacing w:after="80" w:before="40"/>
      </w:pPr>
      <w:r>
        <w:rPr>
          <w:rFonts w:ascii="Arial" w:cs="Arial" w:eastAsia="Arial" w:hAnsi="Arial"/>
          <w:color w:val="4A4A4A"/>
          <w:sz w:val="22"/>
          <w:szCs w:val="22"/>
        </w:rPr>
        <w:t xml:space="preserve">Provide a human review workflow for borderline documents requiring manual inspection.</w:t>
      </w:r>
    </w:p>
    <w:p>
      <w:pPr>
        <w:pStyle w:val="ListParagraph"/>
        <w:numPr>
          <w:ilvl w:val="0"/>
          <w:numId w:val="2"/>
        </w:numPr>
        <w:spacing w:after="80" w:before="40"/>
      </w:pPr>
      <w:r>
        <w:rPr>
          <w:rFonts w:ascii="Arial" w:cs="Arial" w:eastAsia="Arial" w:hAnsi="Arial"/>
          <w:color w:val="4A4A4A"/>
          <w:sz w:val="22"/>
          <w:szCs w:val="22"/>
        </w:rPr>
        <w:t xml:space="preserve">Maintain a full audit trail of all validations and reviewer decisions.</w:t>
      </w:r>
    </w:p>
    <w:p>
      <w:pPr>
        <w:pStyle w:val="ListParagraph"/>
        <w:numPr>
          <w:ilvl w:val="0"/>
          <w:numId w:val="2"/>
        </w:numPr>
        <w:spacing w:after="80" w:before="40"/>
      </w:pPr>
      <w:r>
        <w:rPr>
          <w:rFonts w:ascii="Arial" w:cs="Arial" w:eastAsia="Arial" w:hAnsi="Arial"/>
          <w:color w:val="4A4A4A"/>
          <w:sz w:val="22"/>
          <w:szCs w:val="22"/>
        </w:rPr>
        <w:t xml:space="preserve">Support offline and demo operation without live API dependencies.</w:t>
      </w:r>
    </w:p>
    <w:p>
      <w:pPr>
        <w:pStyle w:val="ListParagraph"/>
        <w:numPr>
          <w:ilvl w:val="0"/>
          <w:numId w:val="2"/>
        </w:numPr>
        <w:spacing w:after="80" w:before="40"/>
      </w:pPr>
      <w:r>
        <w:rPr>
          <w:rFonts w:ascii="Arial" w:cs="Arial" w:eastAsia="Arial" w:hAnsi="Arial"/>
          <w:color w:val="4A4A4A"/>
          <w:sz w:val="22"/>
          <w:szCs w:val="22"/>
        </w:rPr>
        <w:t xml:space="preserve">Expose all functionality as a documented REST API for integration with existing port and charter systems.</w:t>
      </w:r>
    </w:p>
    <w:p>
      <w:pPr>
        <w:pStyle w:val="ListParagraph"/>
        <w:numPr>
          <w:ilvl w:val="0"/>
          <w:numId w:val="2"/>
        </w:numPr>
        <w:spacing w:after="80" w:before="40"/>
      </w:pPr>
      <w:r>
        <w:rPr>
          <w:rFonts w:ascii="Arial" w:cs="Arial" w:eastAsia="Arial" w:hAnsi="Arial"/>
          <w:color w:val="4A4A4A"/>
          <w:sz w:val="22"/>
          <w:szCs w:val="22"/>
        </w:rPr>
        <w:t xml:space="preserve">Design all thresholds and parameters to be configurable at runtime without code changes.</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3. System Architecture</w:t>
      </w:r>
    </w:p>
    <w:p>
      <w:pPr>
        <w:spacing w:after="120" w:before="0"/>
        <w:jc w:val="left"/>
      </w:pPr>
      <w:r>
        <w:rPr>
          <w:rFonts w:ascii="Arial" w:cs="Arial" w:eastAsia="Arial" w:hAnsi="Arial"/>
          <w:b w:val="false"/>
          <w:bCs w:val="false"/>
          <w:i w:val="false"/>
          <w:iCs w:val="false"/>
          <w:color w:val="4A4A4A"/>
          <w:sz w:val="22"/>
          <w:szCs w:val="22"/>
        </w:rPr>
        <w:t xml:space="preserve">The system is structured as a microservice-style monolith: each validation phase is an independent Python module under services/, wired together by the validation orchestrator. This architecture allows individual phases to be tested, upgraded, or replaced without affecting adjacent services.</w:t>
      </w:r>
    </w:p>
    <w:p>
      <w:pPr>
        <w:pStyle w:val="Heading2"/>
        <w:spacing w:after="120" w:before="280"/>
      </w:pPr>
      <w:r>
        <w:rPr>
          <w:rFonts w:ascii="Arial" w:cs="Arial" w:eastAsia="Arial" w:hAnsi="Arial"/>
          <w:b/>
          <w:bCs/>
          <w:color w:val="0F6E56"/>
          <w:sz w:val="26"/>
          <w:szCs w:val="26"/>
        </w:rPr>
        <w:t xml:space="preserve">3.1 Technology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6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Backend Framework</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FastAPI 0.136 with Uvicorn ASGI server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Database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PostgreSQL 14+ with SQLAlchemy 2.0 ORM</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Migrations</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Alembic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OCR Engine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Tesseract 5 via pytesseract 0.3.13</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Image Processing</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OpenCV 4.13 (cv2), Pillow 12.2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PDF Rendering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PyMuPDF (fitz), pdfplumber</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Fuzzy Matching</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RapidFuzz 3.x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NLP / NER Fallback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spaCy 3.7 with en_core_web_sm</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ML Anomaly Detection</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scikit-learn 1.3 (Isolation Forest)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Semantic Embeddings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sentence-transformers (all-MiniLM-L6-v2)</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Geospatial</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geopy 2.4, folium 0.15</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AIS Provider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Datalastic API (with synthetic AIS fallback)</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Frontend</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Vanilla JS + CSS (no framework), single-page app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Runtime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Python 3.11+</w:t>
            </w:r>
          </w:p>
        </w:tc>
      </w:tr>
    </w:tbl>
    <w:p>
      <w:pPr>
        <w:spacing w:after="160" w:before="0"/>
      </w:pPr>
      <w:r>
        <w:t xml:space="preserve"/>
      </w:r>
    </w:p>
    <w:p>
      <w:pPr>
        <w:pStyle w:val="Heading2"/>
        <w:spacing w:after="120" w:before="280"/>
      </w:pPr>
      <w:r>
        <w:rPr>
          <w:rFonts w:ascii="Arial" w:cs="Arial" w:eastAsia="Arial" w:hAnsi="Arial"/>
          <w:b/>
          <w:bCs/>
          <w:color w:val="0F6E56"/>
          <w:sz w:val="26"/>
          <w:szCs w:val="26"/>
        </w:rPr>
        <w:t xml:space="preserve">3.2 Service Modules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6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ocr_service</w:t>
            </w:r>
          </w:p>
        </w:tc>
        <w:tc>
          <w:tcPr>
            <w:tcW w:type="dxa" w:w="6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Tesseract wrapper, multi-PSM ensemble, image preprocessor, DIGITAL/HANDWRITTEN classifier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extraction_service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Field-level extraction: regex, fuzzy matching, garbage filtering, field validators</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credibility_service</w:t>
            </w:r>
          </w:p>
        </w:tc>
        <w:tc>
          <w:tcPr>
            <w:tcW w:type="dxa" w:w="6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MARPOL checks, timestamp logic, font consistency scoring, duplicate detection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vessel_verification_service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Datalastic registry client, vessel identity resolver</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barge_verification_service</w:t>
            </w:r>
          </w:p>
        </w:tc>
        <w:tc>
          <w:tcPr>
            <w:tcW w:type="dxa" w:w="6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MPA registry fuzzy matcher, barge identity resolver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location_service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AIS track fetcher, geospatial co-location checks, ML anomaly scorer</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fraud_service</w:t>
            </w:r>
          </w:p>
        </w:tc>
        <w:tc>
          <w:tcPr>
            <w:tcW w:type="dxa" w:w="6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Fraud alert detector and severity classifier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scoring_service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Final confidence score blending (3-component weighted average)</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report_service</w:t>
            </w:r>
          </w:p>
        </w:tc>
        <w:tc>
          <w:tcPr>
            <w:tcW w:type="dxa" w:w="6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Verdict report assembler and audit trail generator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data_provider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Live / cached / stub AIS provider with transparent fallback</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ais_service</w:t>
            </w:r>
          </w:p>
        </w:tc>
        <w:tc>
          <w:tcPr>
            <w:tcW w:type="dxa" w:w="6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AIS history lookup, cache management, track validation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validation_service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Orchestrator, Isolation Forest model, geospatial utilities, synthetic data</w:t>
            </w:r>
          </w:p>
        </w:tc>
      </w:tr>
    </w:tbl>
    <w:p>
      <w:pPr>
        <w:spacing w:after="160" w:before="0"/>
      </w:pPr>
      <w:r>
        <w:t xml:space="preserve"/>
      </w:r>
    </w:p>
    <w:p>
      <w:pPr>
        <w:pStyle w:val="Heading2"/>
        <w:spacing w:after="120" w:before="280"/>
      </w:pPr>
      <w:r>
        <w:rPr>
          <w:rFonts w:ascii="Arial" w:cs="Arial" w:eastAsia="Arial" w:hAnsi="Arial"/>
          <w:b/>
          <w:bCs/>
          <w:color w:val="0F6E56"/>
          <w:sz w:val="26"/>
          <w:szCs w:val="26"/>
        </w:rPr>
        <w:t xml:space="preserve">3.3 Data Flow</w:t>
      </w:r>
    </w:p>
    <w:p>
      <w:pPr>
        <w:spacing w:after="60" w:before="0"/>
      </w:pPr>
      <w:r>
        <w:t xml:space="preserve"/>
      </w:r>
    </w:p>
    <w:p>
      <w:pPr>
        <w:spacing w:after="60" w:before="0"/>
        <w:jc w:val="left"/>
      </w:pPr>
      <w:r>
        <w:rPr>
          <w:rFonts w:ascii="Arial" w:cs="Arial" w:eastAsia="Arial" w:hAnsi="Arial"/>
          <w:b w:val="false"/>
          <w:bCs w:val="false"/>
          <w:i w:val="false"/>
          <w:iCs w:val="false"/>
          <w:color w:val="4A4A4A"/>
          <w:sz w:val="22"/>
          <w:szCs w:val="22"/>
        </w:rPr>
        <w:t xml:space="preserve">1.  Client submits BDN document (PDF or image) via POST /validate.</w:t>
      </w:r>
    </w:p>
    <w:p>
      <w:pPr>
        <w:spacing w:after="60" w:before="0"/>
        <w:jc w:val="left"/>
      </w:pPr>
      <w:r>
        <w:rPr>
          <w:rFonts w:ascii="Arial" w:cs="Arial" w:eastAsia="Arial" w:hAnsi="Arial"/>
          <w:b w:val="false"/>
          <w:bCs w:val="false"/>
          <w:i w:val="false"/>
          <w:iCs w:val="false"/>
          <w:color w:val="4A4A4A"/>
          <w:sz w:val="22"/>
          <w:szCs w:val="22"/>
        </w:rPr>
        <w:t xml:space="preserve">2.  OCR engine classifies document type and extracts raw text.</w:t>
      </w:r>
    </w:p>
    <w:p>
      <w:pPr>
        <w:spacing w:after="60" w:before="0"/>
        <w:jc w:val="left"/>
      </w:pPr>
      <w:r>
        <w:rPr>
          <w:rFonts w:ascii="Arial" w:cs="Arial" w:eastAsia="Arial" w:hAnsi="Arial"/>
          <w:b w:val="false"/>
          <w:bCs w:val="false"/>
          <w:i w:val="false"/>
          <w:iCs w:val="false"/>
          <w:color w:val="4A4A4A"/>
          <w:sz w:val="22"/>
          <w:szCs w:val="22"/>
        </w:rPr>
        <w:t xml:space="preserve">3.  Field extractor parses text into structured BDN fields.</w:t>
      </w:r>
    </w:p>
    <w:p>
      <w:pPr>
        <w:spacing w:after="60" w:before="0"/>
        <w:jc w:val="left"/>
      </w:pPr>
      <w:r>
        <w:rPr>
          <w:rFonts w:ascii="Arial" w:cs="Arial" w:eastAsia="Arial" w:hAnsi="Arial"/>
          <w:b w:val="false"/>
          <w:bCs w:val="false"/>
          <w:i w:val="false"/>
          <w:iCs w:val="false"/>
          <w:color w:val="4A4A4A"/>
          <w:sz w:val="22"/>
          <w:szCs w:val="22"/>
        </w:rPr>
        <w:t xml:space="preserve">4.  Credibility scorer evaluates document quality and MARPOL compliance.</w:t>
      </w:r>
    </w:p>
    <w:p>
      <w:pPr>
        <w:spacing w:after="60" w:before="0"/>
        <w:jc w:val="left"/>
      </w:pPr>
      <w:r>
        <w:rPr>
          <w:rFonts w:ascii="Arial" w:cs="Arial" w:eastAsia="Arial" w:hAnsi="Arial"/>
          <w:b w:val="false"/>
          <w:bCs w:val="false"/>
          <w:i w:val="false"/>
          <w:iCs w:val="false"/>
          <w:color w:val="4A4A4A"/>
          <w:sz w:val="22"/>
          <w:szCs w:val="22"/>
        </w:rPr>
        <w:t xml:space="preserve">5.  Vessel and barge resolvers query external registries.</w:t>
      </w:r>
    </w:p>
    <w:p>
      <w:pPr>
        <w:spacing w:after="60" w:before="0"/>
        <w:jc w:val="left"/>
      </w:pPr>
      <w:r>
        <w:rPr>
          <w:rFonts w:ascii="Arial" w:cs="Arial" w:eastAsia="Arial" w:hAnsi="Arial"/>
          <w:b w:val="false"/>
          <w:bCs w:val="false"/>
          <w:i w:val="false"/>
          <w:iCs w:val="false"/>
          <w:color w:val="4A4A4A"/>
          <w:sz w:val="22"/>
          <w:szCs w:val="22"/>
        </w:rPr>
        <w:t xml:space="preserve">6.  AIS fetcher retrieves telemetry; geospatial checker verifies co-location.</w:t>
      </w:r>
    </w:p>
    <w:p>
      <w:pPr>
        <w:spacing w:after="60" w:before="0"/>
        <w:jc w:val="left"/>
      </w:pPr>
      <w:r>
        <w:rPr>
          <w:rFonts w:ascii="Arial" w:cs="Arial" w:eastAsia="Arial" w:hAnsi="Arial"/>
          <w:b w:val="false"/>
          <w:bCs w:val="false"/>
          <w:i w:val="false"/>
          <w:iCs w:val="false"/>
          <w:color w:val="4A4A4A"/>
          <w:sz w:val="22"/>
          <w:szCs w:val="22"/>
        </w:rPr>
        <w:t xml:space="preserve">7.  Fraud detector generates typed, severity-rated alerts.</w:t>
      </w:r>
    </w:p>
    <w:p>
      <w:pPr>
        <w:spacing w:after="60" w:before="0"/>
        <w:jc w:val="left"/>
      </w:pPr>
      <w:r>
        <w:rPr>
          <w:rFonts w:ascii="Arial" w:cs="Arial" w:eastAsia="Arial" w:hAnsi="Arial"/>
          <w:b w:val="false"/>
          <w:bCs w:val="false"/>
          <w:i w:val="false"/>
          <w:iCs w:val="false"/>
          <w:color w:val="4A4A4A"/>
          <w:sz w:val="22"/>
          <w:szCs w:val="22"/>
        </w:rPr>
        <w:t xml:space="preserve">8.  Confidence scorer produces a 0–100% weighted score.</w:t>
      </w:r>
    </w:p>
    <w:p>
      <w:pPr>
        <w:spacing w:after="160" w:before="0"/>
        <w:jc w:val="left"/>
      </w:pPr>
      <w:r>
        <w:rPr>
          <w:rFonts w:ascii="Arial" w:cs="Arial" w:eastAsia="Arial" w:hAnsi="Arial"/>
          <w:b w:val="false"/>
          <w:bCs w:val="false"/>
          <w:i w:val="false"/>
          <w:iCs w:val="false"/>
          <w:color w:val="4A4A4A"/>
          <w:sz w:val="22"/>
          <w:szCs w:val="22"/>
        </w:rPr>
        <w:t xml:space="preserve">9.  Report generator assembles the full verdict and persists to PostgreSQL.</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4. Validation Pipeline — Phase Detail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Service</w:t>
            </w:r>
          </w:p>
        </w:tc>
        <w:tc>
          <w:tcPr>
            <w:tcW w:type="dxa" w:w="6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1</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OCR Engine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Classifies document (DIGITAL / HANDWRITTEN). Applies CLAHE, deskew, auto-orientation. Runs multi-PSM Tesseract ensemble (PSM 4, 11 for handwritten; 6, 11, 4, 3 for digital).</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2</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Field Extractor</w:t>
            </w:r>
          </w:p>
        </w:tc>
        <w:tc>
          <w:tcPr>
            <w:tcW w:type="dxa" w:w="67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Pulls vessel name, IMO, barge, dates, start/end times, port, supplier, quantity, density, sulphur, flashpoint, viscosity, seal numbers via regex + fuzzy matching.</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3</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Credibility Scorer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Validates field completeness, timestamp logic, MARPOL Annex VI fuel limits, font consistency, and correction/whitening keywords.</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4</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Vessel Resolver</w:t>
            </w:r>
          </w:p>
        </w:tc>
        <w:tc>
          <w:tcPr>
            <w:tcW w:type="dxa" w:w="67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Cross-references extracted IMO and vessel name against Datalastic registry. Retrieves MMSI for AIS lookup.</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5</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Barge Verifier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Fuzzy-matches barge name and SB number against MPA registry. Flags unverified or conflicting craft identities.</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6</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AIS Geolocation</w:t>
            </w:r>
          </w:p>
        </w:tc>
        <w:tc>
          <w:tcPr>
            <w:tcW w:type="dxa" w:w="67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Verifies vessel and barge were physically co-located at the declared port during the declared delivery window.</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7</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Fraud Detector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Checks for duplicate BDNs (90-day window), AIS dark periods, quantity infeasibility, speed anomalies, and suspicious document corrections.</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8</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Confidence Scorer</w:t>
            </w:r>
          </w:p>
        </w:tc>
        <w:tc>
          <w:tcPr>
            <w:tcW w:type="dxa" w:w="67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Blends document credibility (35%), vessel identity confidence (25%), and AIS anomaly score (40%) into a 0–100% final score.</w:t>
            </w:r>
          </w:p>
        </w:tc>
      </w:tr>
      <w:tr>
        <w:tc>
          <w:tcPr>
            <w:tcW w:type="dxa" w:w="600"/>
            <w:tcBorders>
              <w:top w:val="single" w:color="D1D5DB" w:sz="1"/>
              <w:left w:val="single" w:color="D1D5DB" w:sz="1"/>
              <w:bottom w:val="single" w:color="D1D5DB" w:sz="1"/>
              <w:right w:val="single" w:color="D1D5DB" w:sz="1"/>
            </w:tcBorders>
            <w:shd w:fill="1B3A5C" w:val="clear"/>
            <w:tcMar>
              <w:top w:type="dxa" w:w="80"/>
              <w:left w:type="dxa" w:w="60"/>
              <w:bottom w:type="dxa" w:w="80"/>
              <w:right w:type="dxa" w:w="60"/>
            </w:tcMar>
            <w:vAlign w:val="center"/>
          </w:tcPr>
          <w:p>
            <w:pPr>
              <w:jc w:val="center"/>
            </w:pPr>
            <w:r>
              <w:rPr>
                <w:rFonts w:ascii="Arial" w:cs="Arial" w:eastAsia="Arial" w:hAnsi="Arial"/>
                <w:b/>
                <w:bCs/>
                <w:color w:val="FFFFFF"/>
                <w:sz w:val="22"/>
                <w:szCs w:val="22"/>
              </w:rPr>
              <w:t xml:space="preserve">9</w:t>
            </w:r>
          </w:p>
        </w:tc>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0F6E56"/>
                <w:sz w:val="21"/>
                <w:szCs w:val="21"/>
              </w:rPr>
              <w:t xml:space="preserve">Report Generator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Produces structured JSON verdict, full audit trail, fraud alert list, and validation logistics summary. Persists to PostgreSQL.</w:t>
            </w:r>
          </w:p>
        </w:tc>
      </w:tr>
    </w:tbl>
    <w:p>
      <w:pPr>
        <w:spacing w:after="160" w:before="0"/>
      </w:pPr>
      <w:r>
        <w:t xml:space="preserve"/>
      </w:r>
    </w:p>
    <w:p>
      <w:pPr>
        <w:pStyle w:val="Heading2"/>
        <w:spacing w:after="120" w:before="280"/>
      </w:pPr>
      <w:r>
        <w:rPr>
          <w:rFonts w:ascii="Arial" w:cs="Arial" w:eastAsia="Arial" w:hAnsi="Arial"/>
          <w:b/>
          <w:bCs/>
          <w:color w:val="0F6E56"/>
          <w:sz w:val="26"/>
          <w:szCs w:val="26"/>
        </w:rPr>
        <w:t xml:space="preserve">4.1 Confidence Score Composition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6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Measures</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Document Credibility (35%)</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OCR text confidence, field completeness ratio, MARPOL fuel spec checks, timestamp integrity, font consistency, correction keyword detection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Vessel Identity (25%)</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Registry match depth, IMO resolution success, MMSI retrieval, identity conflict flags</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AIS Anomaly Score (40%)</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Vessel–barge separation distance, speed during delivery, AIS gap duration, port proximity, co-location overlap percentage</w:t>
            </w:r>
          </w:p>
        </w:tc>
      </w:tr>
    </w:tbl>
    <w:p>
      <w:pPr>
        <w:spacing w:after="120" w:before="0"/>
      </w:pPr>
      <w:r>
        <w:t xml:space="preserve"/>
      </w:r>
    </w:p>
    <w:p>
      <w:pPr>
        <w:pStyle w:val="Heading2"/>
        <w:spacing w:after="120" w:before="280"/>
      </w:pPr>
      <w:r>
        <w:rPr>
          <w:rFonts w:ascii="Arial" w:cs="Arial" w:eastAsia="Arial" w:hAnsi="Arial"/>
          <w:b/>
          <w:bCs/>
          <w:color w:val="0F6E56"/>
          <w:sz w:val="26"/>
          <w:szCs w:val="26"/>
        </w:rPr>
        <w:t xml:space="preserve">4.2 Verdict Thresholds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Verdict</w:t>
            </w:r>
          </w:p>
        </w:tc>
        <w:tc>
          <w:tcPr>
            <w:tcW w:type="dxa" w:w="7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Criteria</w:t>
            </w:r>
          </w:p>
        </w:tc>
      </w:tr>
      <w:tr>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VALID</w:t>
            </w:r>
          </w:p>
        </w:tc>
        <w:tc>
          <w:tcPr>
            <w:tcW w:type="dxa" w:w="7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≥75%   All checks passed. Low fraud risk.</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SUSPICIOUS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45–74%  Minor flags present. Human review recommended.</w:t>
            </w:r>
          </w:p>
        </w:tc>
      </w:tr>
      <w:tr>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HIGH RISK</w:t>
            </w:r>
          </w:p>
        </w:tc>
        <w:tc>
          <w:tcPr>
            <w:tcW w:type="dxa" w:w="7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&lt;45%    Serious anomalies detected. Review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APPROVED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Any    Manually approved by a reviewer after inspection.</w:t>
            </w:r>
          </w:p>
        </w:tc>
      </w:tr>
      <w:tr>
        <w:tc>
          <w:tcPr>
            <w:tcW w:type="dxa" w:w="2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REJECTED</w:t>
            </w:r>
          </w:p>
        </w:tc>
        <w:tc>
          <w:tcPr>
            <w:tcW w:type="dxa" w:w="7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Any    Manually rejected by a reviewer after inspection.</w:t>
            </w:r>
          </w:p>
        </w:tc>
      </w:tr>
    </w:tbl>
    <w:p>
      <w:pPr>
        <w:spacing w:after="160" w:before="0"/>
      </w:pPr>
      <w:r>
        <w:t xml:space="preserve"/>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5. OCR &amp; Document Processing</w:t>
      </w:r>
    </w:p>
    <w:p>
      <w:pPr>
        <w:pStyle w:val="Heading2"/>
        <w:spacing w:after="120" w:before="280"/>
      </w:pPr>
      <w:r>
        <w:rPr>
          <w:rFonts w:ascii="Arial" w:cs="Arial" w:eastAsia="Arial" w:hAnsi="Arial"/>
          <w:b/>
          <w:bCs/>
          <w:color w:val="0F6E56"/>
          <w:sz w:val="26"/>
          <w:szCs w:val="26"/>
        </w:rPr>
        <w:t xml:space="preserve">5.1 Document Classification</w:t>
      </w:r>
    </w:p>
    <w:p>
      <w:pPr>
        <w:spacing w:after="80" w:before="0"/>
        <w:jc w:val="left"/>
      </w:pPr>
      <w:r>
        <w:rPr>
          <w:rFonts w:ascii="Arial" w:cs="Arial" w:eastAsia="Arial" w:hAnsi="Arial"/>
          <w:b w:val="false"/>
          <w:bCs w:val="false"/>
          <w:i w:val="false"/>
          <w:iCs w:val="false"/>
          <w:color w:val="4A4A4A"/>
          <w:sz w:val="22"/>
          <w:szCs w:val="22"/>
        </w:rPr>
        <w:t xml:space="preserve">Every submitted BDN is classified as DIGITAL (printed / PDF with text layer) or HANDWRITTEN (scanned / photographed) before extraction. Classification uses a multi-signal approach:</w:t>
      </w:r>
    </w:p>
    <w:p>
      <w:pPr>
        <w:pStyle w:val="ListParagraph"/>
        <w:numPr>
          <w:ilvl w:val="0"/>
          <w:numId w:val="2"/>
        </w:numPr>
        <w:spacing w:after="80" w:before="40"/>
      </w:pPr>
      <w:r>
        <w:rPr>
          <w:rFonts w:ascii="Arial" w:cs="Arial" w:eastAsia="Arial" w:hAnsi="Arial"/>
          <w:color w:val="4A4A4A"/>
          <w:sz w:val="22"/>
          <w:szCs w:val="22"/>
        </w:rPr>
        <w:t xml:space="preserve">OCR confidence variance across words (printed text = low variance, handwritten = high)</w:t>
      </w:r>
    </w:p>
    <w:p>
      <w:pPr>
        <w:pStyle w:val="ListParagraph"/>
        <w:numPr>
          <w:ilvl w:val="0"/>
          <w:numId w:val="2"/>
        </w:numPr>
        <w:spacing w:after="80" w:before="40"/>
      </w:pPr>
      <w:r>
        <w:rPr>
          <w:rFonts w:ascii="Arial" w:cs="Arial" w:eastAsia="Arial" w:hAnsi="Arial"/>
          <w:color w:val="4A4A4A"/>
          <w:sz w:val="22"/>
          <w:szCs w:val="22"/>
        </w:rPr>
        <w:t xml:space="preserve">Edge density (Canny) to detect handwriting texture</w:t>
      </w:r>
    </w:p>
    <w:p>
      <w:pPr>
        <w:pStyle w:val="ListParagraph"/>
        <w:numPr>
          <w:ilvl w:val="0"/>
          <w:numId w:val="2"/>
        </w:numPr>
        <w:spacing w:after="80" w:before="40"/>
      </w:pPr>
      <w:r>
        <w:rPr>
          <w:rFonts w:ascii="Arial" w:cs="Arial" w:eastAsia="Arial" w:hAnsi="Arial"/>
          <w:color w:val="4A4A4A"/>
          <w:sz w:val="22"/>
          <w:szCs w:val="22"/>
        </w:rPr>
        <w:t xml:space="preserve">pdfplumber text layer presence for digital PDFs</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5.2 Preprocessing Pipeline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Preprocessing Step</w:t>
            </w:r>
          </w:p>
        </w:tc>
        <w:tc>
          <w:tcPr>
            <w:tcW w:type="dxa" w:w="5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Applied To</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Border removal / Upscale / Grayscale / Deskew / CLAHE</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Both document types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Auto-orientation (Tesseract OSD PSM 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Both document types</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Otsu threshold binarisation</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Digital only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medianBlur(3) denoising + sharpening kernel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Handwritten only</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Adaptive threshold (blockSize=21, C=10)</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Handwritten only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Morphological close MORPH_CLOSE (2×2)</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Handwritten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Preprocessing Step</w:t>
            </w:r>
          </w:p>
        </w:tc>
        <w:tc>
          <w:tcPr>
            <w:tcW w:type="dxa" w:w="5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Applied To</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Border removal / Upscale / Grayscale / Deskew / CLAHE</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Both document types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Auto-orientation (Tesseract OSD PSM 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Both document types</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Otsu threshold binarisation</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Digital only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medianBlur(3) fast denoising + sharpening kernel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Handwritten only</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Adaptive threshold (blockSize=21, C=10)</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Handwritten only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Morphological close MORPH_CLOSE (2×2)</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Handwritten only</w:t>
            </w:r>
          </w:p>
        </w:tc>
      </w:tr>
    </w:tbl>
    <w:p>
      <w:pPr>
        <w:spacing w:after="120" w:before="0"/>
      </w:pPr>
      <w:r>
        <w:t xml:space="preserve"/>
      </w:r>
    </w:p>
    <w:p>
      <w:pPr>
        <w:pStyle w:val="Heading2"/>
        <w:spacing w:after="120" w:before="280"/>
      </w:pPr>
      <w:r>
        <w:rPr>
          <w:rFonts w:ascii="Arial" w:cs="Arial" w:eastAsia="Arial" w:hAnsi="Arial"/>
          <w:b/>
          <w:bCs/>
          <w:color w:val="0F6E56"/>
          <w:sz w:val="26"/>
          <w:szCs w:val="26"/>
        </w:rPr>
        <w:t xml:space="preserve">5.3 Multi-PSM Ensemble</w:t>
      </w:r>
    </w:p>
    <w:p>
      <w:pPr>
        <w:spacing w:after="80" w:before="0"/>
        <w:jc w:val="left"/>
      </w:pPr>
      <w:r>
        <w:rPr>
          <w:rFonts w:ascii="Arial" w:cs="Arial" w:eastAsia="Arial" w:hAnsi="Arial"/>
          <w:b w:val="false"/>
          <w:bCs w:val="false"/>
          <w:i w:val="false"/>
          <w:iCs w:val="false"/>
          <w:color w:val="4A4A4A"/>
          <w:sz w:val="22"/>
          <w:szCs w:val="22"/>
        </w:rPr>
        <w:t xml:space="preserve">To maximise OCR accuracy, the engine runs multiple Tesseract PSM modes and selects the result with the highest mean word confidence:</w:t>
      </w:r>
    </w:p>
    <w:p>
      <w:pPr>
        <w:pStyle w:val="ListParagraph"/>
        <w:numPr>
          <w:ilvl w:val="0"/>
          <w:numId w:val="2"/>
        </w:numPr>
        <w:spacing w:after="80" w:before="40"/>
      </w:pPr>
      <w:r>
        <w:rPr>
          <w:rFonts w:ascii="Arial" w:cs="Arial" w:eastAsia="Arial" w:hAnsi="Arial"/>
          <w:color w:val="4A4A4A"/>
          <w:sz w:val="22"/>
          <w:szCs w:val="22"/>
        </w:rPr>
        <w:t xml:space="preserve">Digital documents: primary PSM 6 (uniform block). Ensemble adds PSM 11, 4, 3 if confidence &lt; 75%.</w:t>
      </w:r>
    </w:p>
    <w:p>
      <w:pPr>
        <w:pStyle w:val="ListParagraph"/>
        <w:numPr>
          <w:ilvl w:val="0"/>
          <w:numId w:val="2"/>
        </w:numPr>
        <w:spacing w:after="80" w:before="40"/>
      </w:pPr>
      <w:r>
        <w:rPr>
          <w:rFonts w:ascii="Arial" w:cs="Arial" w:eastAsia="Arial" w:hAnsi="Arial"/>
          <w:color w:val="4A4A4A"/>
          <w:sz w:val="22"/>
          <w:szCs w:val="22"/>
        </w:rPr>
        <w:t xml:space="preserve">Handwritten documents: primary PSM 4 (single column). Ensemble adds PSM 11 if confidence &lt; 50%. Only 2 passes run, reducing processing time significantly versus the previous 4-pass approach.</w:t>
      </w:r>
    </w:p>
    <w:p>
      <w:pPr>
        <w:pStyle w:val="ListParagraph"/>
        <w:numPr>
          <w:ilvl w:val="0"/>
          <w:numId w:val="2"/>
        </w:numPr>
        <w:spacing w:after="80" w:before="40"/>
      </w:pPr>
      <w:r>
        <w:rPr>
          <w:rFonts w:ascii="Arial" w:cs="Arial" w:eastAsia="Arial" w:hAnsi="Arial"/>
          <w:color w:val="4A4A4A"/>
          <w:sz w:val="22"/>
          <w:szCs w:val="22"/>
        </w:rPr>
        <w:t xml:space="preserve">Classification pass (no doc_type): PSM 3 primary, adds PSM 11, 6 if confidence &lt; 65%.</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6. Fraud Detection &amp; Compliance</w:t>
      </w:r>
    </w:p>
    <w:p>
      <w:pPr>
        <w:pStyle w:val="Heading2"/>
        <w:spacing w:after="120" w:before="280"/>
      </w:pPr>
      <w:r>
        <w:rPr>
          <w:rFonts w:ascii="Arial" w:cs="Arial" w:eastAsia="Arial" w:hAnsi="Arial"/>
          <w:b/>
          <w:bCs/>
          <w:color w:val="0F6E56"/>
          <w:sz w:val="26"/>
          <w:szCs w:val="26"/>
        </w:rPr>
        <w:t xml:space="preserve">6.1 Fraud Alert Types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Alert Type</w:t>
            </w:r>
          </w:p>
        </w:tc>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Trigger Condition</w:t>
            </w:r>
          </w:p>
        </w:tc>
        <w:tc>
          <w:tcPr>
            <w:tcW w:type="dxa" w:w="1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Severity</w:t>
            </w:r>
          </w:p>
        </w:tc>
      </w:tr>
      <w:tr>
        <w:tc>
          <w:tcPr>
            <w:tcW w:type="dxa" w:w="4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1B3A5C"/>
                <w:sz w:val="21"/>
                <w:szCs w:val="21"/>
              </w:rPr>
              <w:t xml:space="preserve">DUPLICATE_BDN</w:t>
            </w:r>
          </w:p>
        </w:tc>
        <w:tc>
          <w:tcPr>
            <w:tcW w:type="dxa" w:w="36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Same BDN reference seen within 90-day look-back window</w:t>
            </w:r>
          </w:p>
        </w:tc>
        <w:tc>
          <w:tcPr>
            <w:tcW w:type="dxa" w:w="1560"/>
            <w:tcBorders>
              <w:top w:val="single" w:color="D1D5DB" w:sz="1"/>
              <w:left w:val="single" w:color="D1D5DB" w:sz="1"/>
              <w:bottom w:val="single" w:color="D1D5DB" w:sz="1"/>
              <w:right w:val="single" w:color="D1D5DB" w:sz="1"/>
            </w:tcBorders>
            <w:shd w:fill="A32D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1"/>
                <w:szCs w:val="21"/>
              </w:rPr>
              <w:t xml:space="preserve">IMO_MISMATCH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Extracted IMO does not match vessel name in Datalastic registry</w:t>
            </w:r>
          </w:p>
        </w:tc>
        <w:tc>
          <w:tcPr>
            <w:tcW w:type="dxa" w:w="1560"/>
            <w:tcBorders>
              <w:top w:val="single" w:color="D1D5DB" w:sz="1"/>
              <w:left w:val="single" w:color="D1D5DB" w:sz="1"/>
              <w:bottom w:val="single" w:color="D1D5DB" w:sz="1"/>
              <w:right w:val="single" w:color="D1D5DB" w:sz="1"/>
            </w:tcBorders>
            <w:shd w:fill="A32D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4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1B3A5C"/>
                <w:sz w:val="21"/>
                <w:szCs w:val="21"/>
              </w:rPr>
              <w:t xml:space="preserve">VESSEL_NOT_FOUND</w:t>
            </w:r>
          </w:p>
        </w:tc>
        <w:tc>
          <w:tcPr>
            <w:tcW w:type="dxa" w:w="36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IMO number not found in Datalastic registry</w:t>
            </w:r>
          </w:p>
        </w:tc>
        <w:tc>
          <w:tcPr>
            <w:tcW w:type="dxa" w:w="1560"/>
            <w:tcBorders>
              <w:top w:val="single" w:color="D1D5DB" w:sz="1"/>
              <w:left w:val="single" w:color="D1D5DB" w:sz="1"/>
              <w:bottom w:val="single" w:color="D1D5DB" w:sz="1"/>
              <w:right w:val="single" w:color="D1D5DB" w:sz="1"/>
            </w:tcBorders>
            <w:shd w:fill="A32D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1"/>
                <w:szCs w:val="21"/>
              </w:rPr>
              <w:t xml:space="preserve">VESSEL_IDENTITY_UNRESOLVED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IMO and vessel name cannot be resolved to a single identity</w:t>
            </w:r>
          </w:p>
        </w:tc>
        <w:tc>
          <w:tcPr>
            <w:tcW w:type="dxa" w:w="1560"/>
            <w:tcBorders>
              <w:top w:val="single" w:color="D1D5DB" w:sz="1"/>
              <w:left w:val="single" w:color="D1D5DB" w:sz="1"/>
              <w:bottom w:val="single" w:color="D1D5DB" w:sz="1"/>
              <w:right w:val="single" w:color="D1D5DB" w:sz="1"/>
            </w:tcBorders>
            <w:shd w:fill="A32D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4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1B3A5C"/>
                <w:sz w:val="21"/>
                <w:szCs w:val="21"/>
              </w:rPr>
              <w:t xml:space="preserve">BARGE_IDENTITY_CONFLICT</w:t>
            </w:r>
          </w:p>
        </w:tc>
        <w:tc>
          <w:tcPr>
            <w:tcW w:type="dxa" w:w="36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Barge name conflicts with SB number registry record</w:t>
            </w:r>
          </w:p>
        </w:tc>
        <w:tc>
          <w:tcPr>
            <w:tcW w:type="dxa" w:w="1560"/>
            <w:tcBorders>
              <w:top w:val="single" w:color="D1D5DB" w:sz="1"/>
              <w:left w:val="single" w:color="D1D5DB" w:sz="1"/>
              <w:bottom w:val="single" w:color="D1D5DB" w:sz="1"/>
              <w:right w:val="single" w:color="D1D5DB" w:sz="1"/>
            </w:tcBorders>
            <w:shd w:fill="A32D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1"/>
                <w:szCs w:val="21"/>
              </w:rPr>
              <w:t xml:space="preserve">EXCESSIVE_DISTANCE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Vessel–barge separation exceeds 200 m during delivery window</w:t>
            </w:r>
          </w:p>
        </w:tc>
        <w:tc>
          <w:tcPr>
            <w:tcW w:type="dxa" w:w="1560"/>
            <w:tcBorders>
              <w:top w:val="single" w:color="D1D5DB" w:sz="1"/>
              <w:left w:val="single" w:color="D1D5DB" w:sz="1"/>
              <w:bottom w:val="single" w:color="D1D5DB" w:sz="1"/>
              <w:right w:val="single" w:color="D1D5DB" w:sz="1"/>
            </w:tcBorders>
            <w:shd w:fill="A32D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4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1B3A5C"/>
                <w:sz w:val="21"/>
                <w:szCs w:val="21"/>
              </w:rPr>
              <w:t xml:space="preserve">BARGE_UNVERIFIED</w:t>
            </w:r>
          </w:p>
        </w:tc>
        <w:tc>
          <w:tcPr>
            <w:tcW w:type="dxa" w:w="36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Barge name/SB number not found in MPA registry</w:t>
            </w:r>
          </w:p>
        </w:tc>
        <w:tc>
          <w:tcPr>
            <w:tcW w:type="dxa" w:w="1560"/>
            <w:tcBorders>
              <w:top w:val="single" w:color="D1D5DB" w:sz="1"/>
              <w:left w:val="single" w:color="D1D5DB" w:sz="1"/>
              <w:bottom w:val="single" w:color="D1D5DB" w:sz="1"/>
              <w:right w:val="single" w:color="D1D5DB" w:sz="1"/>
            </w:tcBorders>
            <w:shd w:fill="BA75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1"/>
                <w:szCs w:val="21"/>
              </w:rPr>
              <w:t xml:space="preserve">QUANTITY_INFEASIBLE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Declared quantity inconsistent with pump rate × delivery duration</w:t>
            </w:r>
          </w:p>
        </w:tc>
        <w:tc>
          <w:tcPr>
            <w:tcW w:type="dxa" w:w="1560"/>
            <w:tcBorders>
              <w:top w:val="single" w:color="D1D5DB" w:sz="1"/>
              <w:left w:val="single" w:color="D1D5DB" w:sz="1"/>
              <w:bottom w:val="single" w:color="D1D5DB" w:sz="1"/>
              <w:right w:val="single" w:color="D1D5DB" w:sz="1"/>
            </w:tcBorders>
            <w:shd w:fill="BA75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r>
      <w:tr>
        <w:tc>
          <w:tcPr>
            <w:tcW w:type="dxa" w:w="4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1B3A5C"/>
                <w:sz w:val="21"/>
                <w:szCs w:val="21"/>
              </w:rPr>
              <w:t xml:space="preserve">INVALID_TIMESTAMPS</w:t>
            </w:r>
          </w:p>
        </w:tc>
        <w:tc>
          <w:tcPr>
            <w:tcW w:type="dxa" w:w="36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End time before start time, or delivery duration outside 0.5–12 h window</w:t>
            </w:r>
          </w:p>
        </w:tc>
        <w:tc>
          <w:tcPr>
            <w:tcW w:type="dxa" w:w="1560"/>
            <w:tcBorders>
              <w:top w:val="single" w:color="D1D5DB" w:sz="1"/>
              <w:left w:val="single" w:color="D1D5DB" w:sz="1"/>
              <w:bottom w:val="single" w:color="D1D5DB" w:sz="1"/>
              <w:right w:val="single" w:color="D1D5DB" w:sz="1"/>
            </w:tcBorders>
            <w:shd w:fill="BA75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1"/>
                <w:szCs w:val="21"/>
              </w:rPr>
              <w:t xml:space="preserve">SUSPICIOUS_CORRECTIONS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Document contains whitening, overwriting, or amendment keywords</w:t>
            </w:r>
          </w:p>
        </w:tc>
        <w:tc>
          <w:tcPr>
            <w:tcW w:type="dxa" w:w="1560"/>
            <w:tcBorders>
              <w:top w:val="single" w:color="D1D5DB" w:sz="1"/>
              <w:left w:val="single" w:color="D1D5DB" w:sz="1"/>
              <w:bottom w:val="single" w:color="D1D5DB" w:sz="1"/>
              <w:right w:val="single" w:color="D1D5DB" w:sz="1"/>
            </w:tcBorders>
            <w:shd w:fill="BA75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r>
      <w:tr>
        <w:tc>
          <w:tcPr>
            <w:tcW w:type="dxa" w:w="4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1B3A5C"/>
                <w:sz w:val="21"/>
                <w:szCs w:val="21"/>
              </w:rPr>
              <w:t xml:space="preserve">MISSING_SEAL_NUMBERS</w:t>
            </w:r>
          </w:p>
        </w:tc>
        <w:tc>
          <w:tcPr>
            <w:tcW w:type="dxa" w:w="36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4A4A4A"/>
                <w:sz w:val="21"/>
                <w:szCs w:val="21"/>
              </w:rPr>
              <w:t xml:space="preserve">One or more seal number fields absent from the BDN</w:t>
            </w:r>
          </w:p>
        </w:tc>
        <w:tc>
          <w:tcPr>
            <w:tcW w:type="dxa" w:w="1560"/>
            <w:tcBorders>
              <w:top w:val="single" w:color="D1D5DB" w:sz="1"/>
              <w:left w:val="single" w:color="D1D5DB" w:sz="1"/>
              <w:bottom w:val="single" w:color="D1D5DB" w:sz="1"/>
              <w:right w:val="single" w:color="D1D5DB" w:sz="1"/>
            </w:tcBorders>
            <w:shd w:fill="3B6D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1"/>
                <w:szCs w:val="21"/>
              </w:rPr>
              <w:t xml:space="preserve">BARGE_AIS_MISSING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No AIS track found for the barge during the delivery window</w:t>
            </w:r>
          </w:p>
        </w:tc>
        <w:tc>
          <w:tcPr>
            <w:tcW w:type="dxa" w:w="1560"/>
            <w:tcBorders>
              <w:top w:val="single" w:color="D1D5DB" w:sz="1"/>
              <w:left w:val="single" w:color="D1D5DB" w:sz="1"/>
              <w:bottom w:val="single" w:color="D1D5DB" w:sz="1"/>
              <w:right w:val="single" w:color="D1D5DB" w:sz="1"/>
            </w:tcBorders>
            <w:shd w:fill="3B6D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r>
    </w:tbl>
    <w:p>
      <w:pPr>
        <w:spacing w:after="160" w:before="0"/>
      </w:pPr>
      <w:r>
        <w:t xml:space="preserve"/>
      </w:r>
    </w:p>
    <w:p>
      <w:pPr>
        <w:pStyle w:val="Heading2"/>
        <w:spacing w:after="120" w:before="280"/>
      </w:pPr>
      <w:r>
        <w:rPr>
          <w:rFonts w:ascii="Arial" w:cs="Arial" w:eastAsia="Arial" w:hAnsi="Arial"/>
          <w:b/>
          <w:bCs/>
          <w:color w:val="0F6E56"/>
          <w:sz w:val="26"/>
          <w:szCs w:val="26"/>
        </w:rPr>
        <w:t xml:space="preserve">6.2 MARPOL Annex VI Compliance Checks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w:t>
            </w:r>
          </w:p>
        </w:tc>
        <w:tc>
          <w:tcPr>
            <w:tcW w:type="dxa" w:w="6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Regulatory Limit</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Density</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0.82 – 1.01 kg/m³</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Sulphur content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 0.50% m/m (global cap)</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Flashpoint</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 60°C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Viscosity at 50°C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 700 cSt</w:t>
            </w:r>
          </w:p>
        </w:tc>
      </w:tr>
      <w:tr>
        <w:tc>
          <w:tcPr>
            <w:tcW w:type="dxa" w:w="3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Water content</w:t>
            </w:r>
          </w:p>
        </w:tc>
        <w:tc>
          <w:tcPr>
            <w:tcW w:type="dxa" w:w="61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 0.50% V/V</w:t>
            </w:r>
          </w:p>
        </w:tc>
      </w:tr>
    </w:tbl>
    <w:p>
      <w:pPr>
        <w:spacing w:after="120" w:before="0"/>
      </w:pPr>
      <w:r>
        <w:t xml:space="preserve"/>
      </w:r>
    </w:p>
    <w:p>
      <w:pPr>
        <w:spacing w:after="160" w:before="0"/>
        <w:jc w:val="left"/>
      </w:pPr>
      <w:r>
        <w:rPr>
          <w:rFonts w:ascii="Arial" w:cs="Arial" w:eastAsia="Arial" w:hAnsi="Arial"/>
          <w:b w:val="false"/>
          <w:bCs w:val="false"/>
          <w:i w:val="false"/>
          <w:iCs w:val="false"/>
          <w:color w:val="4A4A4A"/>
          <w:sz w:val="22"/>
          <w:szCs w:val="22"/>
        </w:rPr>
        <w:t xml:space="preserve">A MARPOL violation applies a 40-point penalty to the credibility score and generates a HIGH severity fraud alert. All limits are configurable in config/config.yaml.</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7. Dashboard &amp; User Interface</w:t>
      </w:r>
    </w:p>
    <w:p>
      <w:pPr>
        <w:spacing w:after="120" w:before="0"/>
        <w:jc w:val="left"/>
      </w:pPr>
      <w:r>
        <w:rPr>
          <w:rFonts w:ascii="Arial" w:cs="Arial" w:eastAsia="Arial" w:hAnsi="Arial"/>
          <w:b w:val="false"/>
          <w:bCs w:val="false"/>
          <w:i w:val="false"/>
          <w:iCs w:val="false"/>
          <w:color w:val="4A4A4A"/>
          <w:sz w:val="22"/>
          <w:szCs w:val="22"/>
        </w:rPr>
        <w:t xml:space="preserve">The investigation dashboard is a browser-based single-page application served at the root URL. It requires no framework or build toolchain — vanilla HTML, CSS, and JavaScript. State is persisted to sessionStorage so the active tab survives a page reload.</w:t>
      </w:r>
    </w:p>
    <w:p>
      <w:pPr>
        <w:pStyle w:val="Heading2"/>
        <w:spacing w:after="120" w:before="280"/>
      </w:pPr>
      <w:r>
        <w:rPr>
          <w:rFonts w:ascii="Arial" w:cs="Arial" w:eastAsia="Arial" w:hAnsi="Arial"/>
          <w:b/>
          <w:bCs/>
          <w:color w:val="0F6E56"/>
          <w:sz w:val="26"/>
          <w:szCs w:val="26"/>
        </w:rPr>
        <w:t xml:space="preserve">7.1 Dashboard Tabs</w:t>
      </w:r>
    </w:p>
    <w:p>
      <w:pPr>
        <w:pStyle w:val="ListParagraph"/>
        <w:numPr>
          <w:ilvl w:val="0"/>
          <w:numId w:val="2"/>
        </w:numPr>
        <w:spacing w:after="80" w:before="40"/>
      </w:pPr>
      <w:r>
        <w:rPr>
          <w:rFonts w:ascii="Arial" w:cs="Arial" w:eastAsia="Arial" w:hAnsi="Arial"/>
          <w:color w:val="4A4A4A"/>
          <w:sz w:val="22"/>
          <w:szCs w:val="22"/>
        </w:rPr>
        <w:t xml:space="preserve">Scan: Upload a BDN document (PDF, PNG, JPG). A real-time stepper shows progress through all 9 pipeline phases. On completion, displays extracted fields, confidence score, fraud alerts, AIS map, and full validation detail.</w:t>
      </w:r>
    </w:p>
    <w:p>
      <w:pPr>
        <w:pStyle w:val="ListParagraph"/>
        <w:numPr>
          <w:ilvl w:val="0"/>
          <w:numId w:val="2"/>
        </w:numPr>
        <w:spacing w:after="80" w:before="40"/>
      </w:pPr>
      <w:r>
        <w:rPr>
          <w:rFonts w:ascii="Arial" w:cs="Arial" w:eastAsia="Arial" w:hAnsi="Arial"/>
          <w:color w:val="4A4A4A"/>
          <w:sz w:val="22"/>
          <w:szCs w:val="22"/>
        </w:rPr>
        <w:t xml:space="preserve">History: Paginated table of all past validations with verdict badges, confidence scores, timestamps, and click-through to full reports. Filterable by verdict tier.</w:t>
      </w:r>
    </w:p>
    <w:p>
      <w:pPr>
        <w:pStyle w:val="ListParagraph"/>
        <w:numPr>
          <w:ilvl w:val="0"/>
          <w:numId w:val="2"/>
        </w:numPr>
        <w:spacing w:after="80" w:before="40"/>
      </w:pPr>
      <w:r>
        <w:rPr>
          <w:rFonts w:ascii="Arial" w:cs="Arial" w:eastAsia="Arial" w:hAnsi="Arial"/>
          <w:color w:val="4A4A4A"/>
          <w:sz w:val="22"/>
          <w:szCs w:val="22"/>
        </w:rPr>
        <w:t xml:space="preserve">Review Queue: Lists all SUSPICIOUS and HIGH RISK transactions awaiting human decision. Reviewers open a side panel showing all extracted fields and fraud alerts, then approve (VALID) or reject (REJECTED). Updates are applied optimistically — the item disappears from the queue immediately and appears in History.</w:t>
      </w:r>
    </w:p>
    <w:p>
      <w:pPr>
        <w:pStyle w:val="ListParagraph"/>
        <w:numPr>
          <w:ilvl w:val="0"/>
          <w:numId w:val="2"/>
        </w:numPr>
        <w:spacing w:after="80" w:before="40"/>
      </w:pPr>
      <w:r>
        <w:rPr>
          <w:rFonts w:ascii="Arial" w:cs="Arial" w:eastAsia="Arial" w:hAnsi="Arial"/>
          <w:color w:val="4A4A4A"/>
          <w:sz w:val="22"/>
          <w:szCs w:val="22"/>
        </w:rPr>
        <w:t xml:space="preserve">Config: Live editor for all config.yaml parameters — scoring weights, MARPOL limits, AIS tolerances, OCR thresholds — without redeployment.</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7.2 Review Queue Behaviour</w:t>
      </w:r>
    </w:p>
    <w:p>
      <w:pPr>
        <w:spacing w:after="80" w:before="0"/>
        <w:jc w:val="left"/>
      </w:pPr>
      <w:r>
        <w:rPr>
          <w:rFonts w:ascii="Arial" w:cs="Arial" w:eastAsia="Arial" w:hAnsi="Arial"/>
          <w:b w:val="false"/>
          <w:bCs w:val="false"/>
          <w:i w:val="false"/>
          <w:iCs w:val="false"/>
          <w:color w:val="4A4A4A"/>
          <w:sz w:val="22"/>
          <w:szCs w:val="22"/>
        </w:rPr>
        <w:t xml:space="preserve">The review queue implements a full optimistic update pattern:</w:t>
      </w:r>
    </w:p>
    <w:p>
      <w:pPr>
        <w:pStyle w:val="ListParagraph"/>
        <w:numPr>
          <w:ilvl w:val="0"/>
          <w:numId w:val="2"/>
        </w:numPr>
        <w:spacing w:after="80" w:before="40"/>
      </w:pPr>
      <w:r>
        <w:rPr>
          <w:rFonts w:ascii="Arial" w:cs="Arial" w:eastAsia="Arial" w:hAnsi="Arial"/>
          <w:color w:val="4A4A4A"/>
          <w:sz w:val="22"/>
          <w:szCs w:val="22"/>
        </w:rPr>
        <w:t xml:space="preserve">Reviewer decision is applied to in-memory state immediately (no waiting for server round-trip).</w:t>
      </w:r>
    </w:p>
    <w:p>
      <w:pPr>
        <w:pStyle w:val="ListParagraph"/>
        <w:numPr>
          <w:ilvl w:val="0"/>
          <w:numId w:val="2"/>
        </w:numPr>
        <w:spacing w:after="80" w:before="40"/>
      </w:pPr>
      <w:r>
        <w:rPr>
          <w:rFonts w:ascii="Arial" w:cs="Arial" w:eastAsia="Arial" w:hAnsi="Arial"/>
          <w:color w:val="4A4A4A"/>
          <w:sz w:val="22"/>
          <w:szCs w:val="22"/>
        </w:rPr>
        <w:t xml:space="preserve">The reviewed transaction is removed from the queue; queue counters and HIGH RISK / SUSPICIOUS stats update in real time.</w:t>
      </w:r>
    </w:p>
    <w:p>
      <w:pPr>
        <w:pStyle w:val="ListParagraph"/>
        <w:numPr>
          <w:ilvl w:val="0"/>
          <w:numId w:val="2"/>
        </w:numPr>
        <w:spacing w:after="80" w:before="40"/>
      </w:pPr>
      <w:r>
        <w:rPr>
          <w:rFonts w:ascii="Arial" w:cs="Arial" w:eastAsia="Arial" w:hAnsi="Arial"/>
          <w:color w:val="4A4A4A"/>
          <w:sz w:val="22"/>
          <w:szCs w:val="22"/>
        </w:rPr>
        <w:t xml:space="preserve">The transaction is inserted or updated in the History view with the correct verdict (VALID / REJECTED), reviewed timestamp, and verdict reason.</w:t>
      </w:r>
    </w:p>
    <w:p>
      <w:pPr>
        <w:pStyle w:val="ListParagraph"/>
        <w:numPr>
          <w:ilvl w:val="0"/>
          <w:numId w:val="2"/>
        </w:numPr>
        <w:spacing w:after="80" w:before="40"/>
      </w:pPr>
      <w:r>
        <w:rPr>
          <w:rFonts w:ascii="Arial" w:cs="Arial" w:eastAsia="Arial" w:hAnsi="Arial"/>
          <w:color w:val="4A4A4A"/>
          <w:sz w:val="22"/>
          <w:szCs w:val="22"/>
        </w:rPr>
        <w:t xml:space="preserve">The backend PUT /transactions/{id} call runs asynchronously in the background. If it fails, a toast error is shown; state is not rolled back (graceful degradation).</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8. API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Endpoint</w:t>
            </w:r>
          </w:p>
        </w:tc>
        <w:tc>
          <w:tcPr>
            <w:tcW w:type="dxa" w:w="6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POST /validate</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Submit a BDN document. Runs the full 9-phase pipeline. Returns verdict, confidence score, fraud alerts, and extracted fields.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POST /extract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Extract fields from a document only. No AIS or registry checks. Used for OCR quality testing.</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GET /transactions</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List all past validations. Supports limit and offset query parameters.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GET /transactions/{id}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Retrieve a single transaction by ID, including the full validation result and audit trail.</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PUT /transactions/{id}</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Update a transaction. Used by the dashboard for manual field corrections and reviewer decisions (approve / reject).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GET /config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Return current config.yaml contents as JSON.</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POST /config</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Update one or more configuration values at runtime. Persists to config/config.yaml.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GET /</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Serve the investigation dashboard (static HTML/JS/CSS).</w:t>
            </w:r>
          </w:p>
        </w:tc>
      </w:tr>
    </w:tbl>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9. Updates, Fixes &amp; Enhancements</w:t>
      </w:r>
    </w:p>
    <w:p>
      <w:pPr>
        <w:spacing w:after="120" w:before="0"/>
        <w:jc w:val="left"/>
      </w:pPr>
      <w:r>
        <w:rPr>
          <w:rFonts w:ascii="Arial" w:cs="Arial" w:eastAsia="Arial" w:hAnsi="Arial"/>
          <w:b w:val="false"/>
          <w:bCs w:val="false"/>
          <w:i w:val="false"/>
          <w:iCs w:val="false"/>
          <w:color w:val="4A4A4A"/>
          <w:sz w:val="22"/>
          <w:szCs w:val="22"/>
        </w:rPr>
        <w:t xml:space="preserve">The following issues were identified, diagnosed, and resolved during the current development cycle.</w:t>
      </w:r>
    </w:p>
    <w:p>
      <w:pPr>
        <w:pStyle w:val="Heading2"/>
        <w:spacing w:after="120" w:before="280"/>
      </w:pPr>
      <w:r>
        <w:rPr>
          <w:rFonts w:ascii="Arial" w:cs="Arial" w:eastAsia="Arial" w:hAnsi="Arial"/>
          <w:b/>
          <w:bCs/>
          <w:color w:val="0F6E56"/>
          <w:sz w:val="26"/>
          <w:szCs w:val="26"/>
        </w:rPr>
        <w:t xml:space="preserve">9.1 Human Review Queue</w:t>
      </w:r>
    </w:p>
    <w:p>
      <w:pPr>
        <w:pStyle w:val="ListParagraph"/>
        <w:numPr>
          <w:ilvl w:val="0"/>
          <w:numId w:val="2"/>
        </w:numPr>
        <w:spacing w:after="80" w:before="40"/>
      </w:pPr>
      <w:r>
        <w:rPr>
          <w:rFonts w:ascii="Arial" w:cs="Arial" w:eastAsia="Arial" w:hAnsi="Arial"/>
          <w:color w:val="4A4A4A"/>
          <w:sz w:val="22"/>
          <w:szCs w:val="22"/>
        </w:rPr>
        <w:t xml:space="preserve">Issue: Rejected BDNs remained visible in the review queue after a reviewer decision.</w:t>
      </w:r>
    </w:p>
    <w:p>
      <w:pPr>
        <w:pStyle w:val="ListParagraph"/>
        <w:numPr>
          <w:ilvl w:val="0"/>
          <w:numId w:val="2"/>
        </w:numPr>
        <w:spacing w:after="80" w:before="40"/>
      </w:pPr>
      <w:r>
        <w:rPr>
          <w:rFonts w:ascii="Arial" w:cs="Arial" w:eastAsia="Arial" w:hAnsi="Arial"/>
          <w:color w:val="4A4A4A"/>
          <w:sz w:val="22"/>
          <w:szCs w:val="22"/>
        </w:rPr>
        <w:t xml:space="preserve">Root cause: Frontend filter did not exclude REJECTED and VALID classifications; the backend PUT handler replaced the entire validation_result JSON instead of merging changes.</w:t>
      </w:r>
    </w:p>
    <w:p>
      <w:pPr>
        <w:pStyle w:val="ListParagraph"/>
        <w:numPr>
          <w:ilvl w:val="0"/>
          <w:numId w:val="2"/>
        </w:numPr>
        <w:spacing w:after="80" w:before="40"/>
      </w:pPr>
      <w:r>
        <w:rPr>
          <w:rFonts w:ascii="Arial" w:cs="Arial" w:eastAsia="Arial" w:hAnsi="Arial"/>
          <w:color w:val="4A4A4A"/>
          <w:sz w:val="22"/>
          <w:szCs w:val="22"/>
        </w:rPr>
        <w:t xml:space="preserve">Fix (frontend): Added explicit filter in loadReviewQueue to exclude REJECTED, VALID, and MANUALLY_APPROVED items.</w:t>
      </w:r>
    </w:p>
    <w:p>
      <w:pPr>
        <w:pStyle w:val="ListParagraph"/>
        <w:numPr>
          <w:ilvl w:val="0"/>
          <w:numId w:val="2"/>
        </w:numPr>
        <w:spacing w:after="80" w:before="40"/>
      </w:pPr>
      <w:r>
        <w:rPr>
          <w:rFonts w:ascii="Arial" w:cs="Arial" w:eastAsia="Arial" w:hAnsi="Arial"/>
          <w:color w:val="4A4A4A"/>
          <w:sz w:val="22"/>
          <w:szCs w:val="22"/>
        </w:rPr>
        <w:t xml:space="preserve">Fix (backend): PUT handler now merges the incoming body into the existing validation_result (dict merge) instead of replacing it wholesale.</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9.2 History Not Updating After Review</w:t>
      </w:r>
    </w:p>
    <w:p>
      <w:pPr>
        <w:pStyle w:val="ListParagraph"/>
        <w:numPr>
          <w:ilvl w:val="0"/>
          <w:numId w:val="2"/>
        </w:numPr>
        <w:spacing w:after="80" w:before="40"/>
      </w:pPr>
      <w:r>
        <w:rPr>
          <w:rFonts w:ascii="Arial" w:cs="Arial" w:eastAsia="Arial" w:hAnsi="Arial"/>
          <w:color w:val="4A4A4A"/>
          <w:sz w:val="22"/>
          <w:szCs w:val="22"/>
        </w:rPr>
        <w:t xml:space="preserve">Issue: After approving or rejecting in the review panel, the History tab did not reflect the change until a full page reload.</w:t>
      </w:r>
    </w:p>
    <w:p>
      <w:pPr>
        <w:pStyle w:val="ListParagraph"/>
        <w:numPr>
          <w:ilvl w:val="0"/>
          <w:numId w:val="2"/>
        </w:numPr>
        <w:spacing w:after="80" w:before="40"/>
      </w:pPr>
      <w:r>
        <w:rPr>
          <w:rFonts w:ascii="Arial" w:cs="Arial" w:eastAsia="Arial" w:hAnsi="Arial"/>
          <w:color w:val="4A4A4A"/>
          <w:sz w:val="22"/>
          <w:szCs w:val="22"/>
        </w:rPr>
        <w:t xml:space="preserve">Root cause: The submit action only updated the review queue in memory; historyRows was not mutated, and no re-render was triggered.</w:t>
      </w:r>
    </w:p>
    <w:p>
      <w:pPr>
        <w:pStyle w:val="ListParagraph"/>
        <w:numPr>
          <w:ilvl w:val="0"/>
          <w:numId w:val="2"/>
        </w:numPr>
        <w:spacing w:after="80" w:before="40"/>
      </w:pPr>
      <w:r>
        <w:rPr>
          <w:rFonts w:ascii="Arial" w:cs="Arial" w:eastAsia="Arial" w:hAnsi="Arial"/>
          <w:color w:val="4A4A4A"/>
          <w:sz w:val="22"/>
          <w:szCs w:val="22"/>
        </w:rPr>
        <w:t xml:space="preserve">Fix: submitReview now performs a full optimistic update — queue state is mutated, historyRows is updated or prepended, and both the queue and history views are re-rendered immediately before the async server call completes.</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9.3 Null Pointer on Document Scan</w:t>
      </w:r>
    </w:p>
    <w:p>
      <w:pPr>
        <w:pStyle w:val="ListParagraph"/>
        <w:numPr>
          <w:ilvl w:val="0"/>
          <w:numId w:val="2"/>
        </w:numPr>
        <w:spacing w:after="80" w:before="40"/>
      </w:pPr>
      <w:r>
        <w:rPr>
          <w:rFonts w:ascii="Arial" w:cs="Arial" w:eastAsia="Arial" w:hAnsi="Arial"/>
          <w:color w:val="4A4A4A"/>
          <w:sz w:val="22"/>
          <w:szCs w:val="22"/>
        </w:rPr>
        <w:t xml:space="preserve">Issue: 'Cannot set properties of null (setting innerHTML)' error on document scan.</w:t>
      </w:r>
    </w:p>
    <w:p>
      <w:pPr>
        <w:pStyle w:val="ListParagraph"/>
        <w:numPr>
          <w:ilvl w:val="0"/>
          <w:numId w:val="2"/>
        </w:numPr>
        <w:spacing w:after="80" w:before="40"/>
      </w:pPr>
      <w:r>
        <w:rPr>
          <w:rFonts w:ascii="Arial" w:cs="Arial" w:eastAsia="Arial" w:hAnsi="Arial"/>
          <w:color w:val="4A4A4A"/>
          <w:sz w:val="22"/>
          <w:szCs w:val="22"/>
        </w:rPr>
        <w:t xml:space="preserve">Root cause: The AIS map rendering code referenced #map-container which does not exist in the current HTML layout.</w:t>
      </w:r>
    </w:p>
    <w:p>
      <w:pPr>
        <w:pStyle w:val="ListParagraph"/>
        <w:numPr>
          <w:ilvl w:val="0"/>
          <w:numId w:val="2"/>
        </w:numPr>
        <w:spacing w:after="80" w:before="40"/>
      </w:pPr>
      <w:r>
        <w:rPr>
          <w:rFonts w:ascii="Arial" w:cs="Arial" w:eastAsia="Arial" w:hAnsi="Arial"/>
          <w:color w:val="4A4A4A"/>
          <w:sz w:val="22"/>
          <w:szCs w:val="22"/>
        </w:rPr>
        <w:t xml:space="preserve">Fix: Added null guard before innerHTML assignment. The element is now checked before any property access.</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9.4 Garbled OCR Field Extraction</w:t>
      </w:r>
    </w:p>
    <w:p>
      <w:pPr>
        <w:pStyle w:val="ListParagraph"/>
        <w:numPr>
          <w:ilvl w:val="0"/>
          <w:numId w:val="2"/>
        </w:numPr>
        <w:spacing w:after="80" w:before="40"/>
      </w:pPr>
      <w:r>
        <w:rPr>
          <w:rFonts w:ascii="Arial" w:cs="Arial" w:eastAsia="Arial" w:hAnsi="Arial"/>
          <w:color w:val="4A4A4A"/>
          <w:sz w:val="22"/>
          <w:szCs w:val="22"/>
        </w:rPr>
        <w:t xml:space="preserve">Issue: Extracted field values contained OCR noise characters such as 'j Date', '[J .-= 262-5 (@ Joon', and similar garbage strings.</w:t>
      </w:r>
    </w:p>
    <w:p>
      <w:pPr>
        <w:pStyle w:val="ListParagraph"/>
        <w:numPr>
          <w:ilvl w:val="0"/>
          <w:numId w:val="2"/>
        </w:numPr>
        <w:spacing w:after="80" w:before="40"/>
      </w:pPr>
      <w:r>
        <w:rPr>
          <w:rFonts w:ascii="Arial" w:cs="Arial" w:eastAsia="Arial" w:hAnsi="Arial"/>
          <w:color w:val="4A4A4A"/>
          <w:sz w:val="22"/>
          <w:szCs w:val="22"/>
        </w:rPr>
        <w:t xml:space="preserve">OCR text cleaning (engine.py): Added square brackets [ ] to the garbage character set stripped from raw Tesseract output, alongside existing garbage characters (|, ~, ^, ¢, etc.).</w:t>
      </w:r>
    </w:p>
    <w:p>
      <w:pPr>
        <w:pStyle w:val="ListParagraph"/>
        <w:numPr>
          <w:ilvl w:val="0"/>
          <w:numId w:val="2"/>
        </w:numPr>
        <w:spacing w:after="80" w:before="40"/>
      </w:pPr>
      <w:r>
        <w:rPr>
          <w:rFonts w:ascii="Arial" w:cs="Arial" w:eastAsia="Arial" w:hAnsi="Arial"/>
          <w:color w:val="4A4A4A"/>
          <w:sz w:val="22"/>
          <w:szCs w:val="22"/>
        </w:rPr>
        <w:t xml:space="preserve">Value garbage filter (base_extractor.py): Added _is_garbage() function that rejects values containing 2+ garbage-class characters, values starting with a lowercase letter + space (single-character OCR artifacts), and values where fewer than 70% of characters are meaningful (alphanumeric or common punctuation).</w:t>
      </w:r>
    </w:p>
    <w:p>
      <w:pPr>
        <w:pStyle w:val="ListParagraph"/>
        <w:numPr>
          <w:ilvl w:val="0"/>
          <w:numId w:val="2"/>
        </w:numPr>
        <w:spacing w:after="80" w:before="40"/>
      </w:pPr>
      <w:r>
        <w:rPr>
          <w:rFonts w:ascii="Arial" w:cs="Arial" w:eastAsia="Arial" w:hAnsi="Arial"/>
          <w:color w:val="4A4A4A"/>
          <w:sz w:val="22"/>
          <w:szCs w:val="22"/>
        </w:rPr>
        <w:t xml:space="preserve">Field-level validators (extractor.py): Added post-extraction validators for each field type — vessel name must be ≥50% alphabetic, IMO must be exactly 7 digits, port/supplier rejected if &gt;40% digits, delivery date rejected if it contains no digits.</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9.5 Handwritten Document Speed</w:t>
      </w:r>
    </w:p>
    <w:p>
      <w:pPr>
        <w:pStyle w:val="ListParagraph"/>
        <w:numPr>
          <w:ilvl w:val="0"/>
          <w:numId w:val="2"/>
        </w:numPr>
        <w:spacing w:after="80" w:before="40"/>
      </w:pPr>
      <w:r>
        <w:rPr>
          <w:rFonts w:ascii="Arial" w:cs="Arial" w:eastAsia="Arial" w:hAnsi="Arial"/>
          <w:color w:val="4A4A4A"/>
          <w:sz w:val="22"/>
          <w:szCs w:val="22"/>
        </w:rPr>
        <w:t xml:space="preserve">Issue: Handwritten BDN scans took 20–40 seconds to process with no extracted values.</w:t>
      </w:r>
    </w:p>
    <w:p>
      <w:pPr>
        <w:pStyle w:val="ListParagraph"/>
        <w:numPr>
          <w:ilvl w:val="0"/>
          <w:numId w:val="2"/>
        </w:numPr>
        <w:spacing w:after="80" w:before="40"/>
      </w:pPr>
      <w:r>
        <w:rPr>
          <w:rFonts w:ascii="Arial" w:cs="Arial" w:eastAsia="Arial" w:hAnsi="Arial"/>
          <w:color w:val="4A4A4A"/>
          <w:sz w:val="22"/>
          <w:szCs w:val="22"/>
        </w:rPr>
        <w:t xml:space="preserve">Root cause (speed): fastNlMeansDenoising with searchWindowSize=21 is O(n²) and takes 10–30 seconds on a full A4 page at 300 DPI. Additionally, the ensemble ran up to 4 Tesseract passes regardless of document type.</w:t>
      </w:r>
    </w:p>
    <w:p>
      <w:pPr>
        <w:pStyle w:val="ListParagraph"/>
        <w:numPr>
          <w:ilvl w:val="0"/>
          <w:numId w:val="2"/>
        </w:numPr>
        <w:spacing w:after="80" w:before="40"/>
      </w:pPr>
      <w:r>
        <w:rPr>
          <w:rFonts w:ascii="Arial" w:cs="Arial" w:eastAsia="Arial" w:hAnsi="Arial"/>
          <w:color w:val="4A4A4A"/>
          <w:sz w:val="22"/>
          <w:szCs w:val="22"/>
        </w:rPr>
        <w:t xml:space="preserve">Fix (preprocessor.py): Replaced fastNlMeansDenoising with cv2.medianBlur(gray, 3), which removes salt-and-pepper noise in milliseconds with comparable quality for BDN scans.</w:t>
      </w:r>
    </w:p>
    <w:p>
      <w:pPr>
        <w:pStyle w:val="ListParagraph"/>
        <w:numPr>
          <w:ilvl w:val="0"/>
          <w:numId w:val="2"/>
        </w:numPr>
        <w:spacing w:after="80" w:before="40"/>
      </w:pPr>
      <w:r>
        <w:rPr>
          <w:rFonts w:ascii="Arial" w:cs="Arial" w:eastAsia="Arial" w:hAnsi="Arial"/>
          <w:color w:val="4A4A4A"/>
          <w:sz w:val="22"/>
          <w:szCs w:val="22"/>
        </w:rPr>
        <w:t xml:space="preserve">Fix (engine.py): Separated ensemble PSM lists by document type. HANDWRITTEN now runs only PSM 4 and 11 (2 passes maximum). The confidence threshold for triggering the ensemble was lowered from 0.75 to 0.50 for HANDWRITTEN, recognising that handwritten OCR is inherently lower-confidence.</w:t>
      </w:r>
    </w:p>
    <w:p>
      <w:pPr>
        <w:pStyle w:val="ListParagraph"/>
        <w:numPr>
          <w:ilvl w:val="0"/>
          <w:numId w:val="2"/>
        </w:numPr>
        <w:spacing w:after="80" w:before="40"/>
      </w:pPr>
      <w:r>
        <w:rPr>
          <w:rFonts w:ascii="Arial" w:cs="Arial" w:eastAsia="Arial" w:hAnsi="Arial"/>
          <w:color w:val="4A4A4A"/>
          <w:sz w:val="22"/>
          <w:szCs w:val="22"/>
        </w:rPr>
        <w:t xml:space="preserve">Fix (preprocessing quality): Adaptive threshold blockSize increased from 15 to 21 and C from 8 to 10, improving binarisation on documents with larger ink-stroke and lighting variation regions.</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10. Results &amp; Outcomes</w:t>
      </w:r>
    </w:p>
    <w:p>
      <w:pPr>
        <w:pStyle w:val="Heading2"/>
        <w:spacing w:after="120" w:before="280"/>
      </w:pPr>
      <w:r>
        <w:rPr>
          <w:rFonts w:ascii="Arial" w:cs="Arial" w:eastAsia="Arial" w:hAnsi="Arial"/>
          <w:b/>
          <w:bCs/>
          <w:color w:val="0F6E56"/>
          <w:sz w:val="26"/>
          <w:szCs w:val="26"/>
        </w:rPr>
        <w:t xml:space="preserve">10.1 Processing Performance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Document / Operation</w:t>
            </w:r>
          </w:p>
        </w:tc>
        <w:tc>
          <w:tcPr>
            <w:tcW w:type="dxa" w:w="5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Processing Time</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Digital PDF (text layer)</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&lt; 2 seconds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Digital PDF (image-only, no 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3 – 6 seconds</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Handwritten / scanned image</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8 – 15 seconds (down from 20–40 s before optimisation)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AIS telemetry fetch (live API)</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+ 1 – 3 seconds</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AIS telemetry (cached)</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 &lt; 0.5 seconds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B3A5C"/>
                <w:sz w:val="21"/>
                <w:szCs w:val="21"/>
              </w:rPr>
              <w:t xml:space="preserve">End-to-end (typical digital)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&lt; 5 seconds</w:t>
            </w:r>
          </w:p>
        </w:tc>
      </w:tr>
      <w:tr>
        <w:tc>
          <w:tcPr>
            <w:tcW w:type="dxa" w:w="40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bCs/>
                <w:color w:val="1B3A5C"/>
                <w:sz w:val="21"/>
                <w:szCs w:val="21"/>
              </w:rPr>
              <w:t xml:space="preserve">End-to-end (typical handwritten)</w:t>
            </w:r>
          </w:p>
        </w:tc>
        <w:tc>
          <w:tcPr>
            <w:tcW w:type="dxa" w:w="5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vAlign w:val="center"/>
          </w:tcPr>
          <w:p>
            <w:r>
              <w:rPr>
                <w:rFonts w:ascii="Arial" w:cs="Arial" w:eastAsia="Arial" w:hAnsi="Arial"/>
                <w:b w:val="false"/>
                <w:bCs w:val="false"/>
                <w:color w:val="4A4A4A"/>
                <w:sz w:val="21"/>
                <w:szCs w:val="21"/>
              </w:rPr>
              <w:t xml:space="preserve">10 – 20 seconds</w:t>
            </w:r>
          </w:p>
        </w:tc>
      </w:tr>
    </w:tbl>
    <w:p>
      <w:pPr>
        <w:spacing w:after="160" w:before="0"/>
      </w:pPr>
      <w:r>
        <w:t xml:space="preserve"/>
      </w:r>
    </w:p>
    <w:p>
      <w:pPr>
        <w:pStyle w:val="Heading2"/>
        <w:spacing w:after="120" w:before="280"/>
      </w:pPr>
      <w:r>
        <w:rPr>
          <w:rFonts w:ascii="Arial" w:cs="Arial" w:eastAsia="Arial" w:hAnsi="Arial"/>
          <w:b/>
          <w:bCs/>
          <w:color w:val="0F6E56"/>
          <w:sz w:val="26"/>
          <w:szCs w:val="26"/>
        </w:rPr>
        <w:t xml:space="preserve">10.2 Capability Summary</w:t>
      </w:r>
    </w:p>
    <w:p>
      <w:pPr>
        <w:pStyle w:val="ListParagraph"/>
        <w:numPr>
          <w:ilvl w:val="0"/>
          <w:numId w:val="2"/>
        </w:numPr>
        <w:spacing w:after="80" w:before="40"/>
      </w:pPr>
      <w:r>
        <w:rPr>
          <w:rFonts w:ascii="Arial" w:cs="Arial" w:eastAsia="Arial" w:hAnsi="Arial"/>
          <w:color w:val="4A4A4A"/>
          <w:sz w:val="22"/>
          <w:szCs w:val="22"/>
        </w:rPr>
        <w:t xml:space="preserve">Complete automation of the BDN validation workflow — from raw document to structured verdict — with no manual data entry.</w:t>
      </w:r>
    </w:p>
    <w:p>
      <w:pPr>
        <w:pStyle w:val="ListParagraph"/>
        <w:numPr>
          <w:ilvl w:val="0"/>
          <w:numId w:val="2"/>
        </w:numPr>
        <w:spacing w:after="80" w:before="40"/>
      </w:pPr>
      <w:r>
        <w:rPr>
          <w:rFonts w:ascii="Arial" w:cs="Arial" w:eastAsia="Arial" w:hAnsi="Arial"/>
          <w:color w:val="4A4A4A"/>
          <w:sz w:val="22"/>
          <w:szCs w:val="22"/>
        </w:rPr>
        <w:t xml:space="preserve">Support for all BDN formats encountered in operational use: digital PDFs, scanned printed forms, and handwritten forms.</w:t>
      </w:r>
    </w:p>
    <w:p>
      <w:pPr>
        <w:pStyle w:val="ListParagraph"/>
        <w:numPr>
          <w:ilvl w:val="0"/>
          <w:numId w:val="2"/>
        </w:numPr>
        <w:spacing w:after="80" w:before="40"/>
      </w:pPr>
      <w:r>
        <w:rPr>
          <w:rFonts w:ascii="Arial" w:cs="Arial" w:eastAsia="Arial" w:hAnsi="Arial"/>
          <w:color w:val="4A4A4A"/>
          <w:sz w:val="22"/>
          <w:szCs w:val="22"/>
        </w:rPr>
        <w:t xml:space="preserve">Enforcement of 12 distinct fraud alert types covering identity, geolocation, duplication, quantity, and document integrity dimensions.</w:t>
      </w:r>
    </w:p>
    <w:p>
      <w:pPr>
        <w:pStyle w:val="ListParagraph"/>
        <w:numPr>
          <w:ilvl w:val="0"/>
          <w:numId w:val="2"/>
        </w:numPr>
        <w:spacing w:after="80" w:before="40"/>
      </w:pPr>
      <w:r>
        <w:rPr>
          <w:rFonts w:ascii="Arial" w:cs="Arial" w:eastAsia="Arial" w:hAnsi="Arial"/>
          <w:color w:val="4A4A4A"/>
          <w:sz w:val="22"/>
          <w:szCs w:val="22"/>
        </w:rPr>
        <w:t xml:space="preserve">Full MARPOL Annex VI compliance checking across 5 fuel chemistry parameters.</w:t>
      </w:r>
    </w:p>
    <w:p>
      <w:pPr>
        <w:pStyle w:val="ListParagraph"/>
        <w:numPr>
          <w:ilvl w:val="0"/>
          <w:numId w:val="2"/>
        </w:numPr>
        <w:spacing w:after="80" w:before="40"/>
      </w:pPr>
      <w:r>
        <w:rPr>
          <w:rFonts w:ascii="Arial" w:cs="Arial" w:eastAsia="Arial" w:hAnsi="Arial"/>
          <w:color w:val="4A4A4A"/>
          <w:sz w:val="22"/>
          <w:szCs w:val="22"/>
        </w:rPr>
        <w:t xml:space="preserve">Human-in-the-loop review workflow with optimistic UI, full audit trail, and reviewer decision logging.</w:t>
      </w:r>
    </w:p>
    <w:p>
      <w:pPr>
        <w:pStyle w:val="ListParagraph"/>
        <w:numPr>
          <w:ilvl w:val="0"/>
          <w:numId w:val="2"/>
        </w:numPr>
        <w:spacing w:after="80" w:before="40"/>
      </w:pPr>
      <w:r>
        <w:rPr>
          <w:rFonts w:ascii="Arial" w:cs="Arial" w:eastAsia="Arial" w:hAnsi="Arial"/>
          <w:color w:val="4A4A4A"/>
          <w:sz w:val="22"/>
          <w:szCs w:val="22"/>
        </w:rPr>
        <w:t xml:space="preserve">Fully offline operation available via synthetic AIS fallback and stub data provider.</w:t>
      </w:r>
    </w:p>
    <w:p>
      <w:pPr>
        <w:pStyle w:val="ListParagraph"/>
        <w:numPr>
          <w:ilvl w:val="0"/>
          <w:numId w:val="2"/>
        </w:numPr>
        <w:spacing w:after="80" w:before="40"/>
      </w:pPr>
      <w:r>
        <w:rPr>
          <w:rFonts w:ascii="Arial" w:cs="Arial" w:eastAsia="Arial" w:hAnsi="Arial"/>
          <w:color w:val="4A4A4A"/>
          <w:sz w:val="22"/>
          <w:szCs w:val="22"/>
        </w:rPr>
        <w:t xml:space="preserve">All validation parameters configurable at runtime without code changes or service restart.</w:t>
      </w:r>
    </w:p>
    <w:p>
      <w:pPr>
        <w:pStyle w:val="ListParagraph"/>
        <w:numPr>
          <w:ilvl w:val="0"/>
          <w:numId w:val="2"/>
        </w:numPr>
        <w:spacing w:after="80" w:before="40"/>
      </w:pPr>
      <w:r>
        <w:rPr>
          <w:rFonts w:ascii="Arial" w:cs="Arial" w:eastAsia="Arial" w:hAnsi="Arial"/>
          <w:color w:val="4A4A4A"/>
          <w:sz w:val="22"/>
          <w:szCs w:val="22"/>
        </w:rPr>
        <w:t xml:space="preserve">REST API for integration with third-party port management, charter party, and compliance systems.</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10.3 Known Limitations</w:t>
      </w:r>
    </w:p>
    <w:p>
      <w:pPr>
        <w:pStyle w:val="ListParagraph"/>
        <w:numPr>
          <w:ilvl w:val="0"/>
          <w:numId w:val="2"/>
        </w:numPr>
        <w:spacing w:after="80" w:before="40"/>
      </w:pPr>
      <w:r>
        <w:rPr>
          <w:rFonts w:ascii="Arial" w:cs="Arial" w:eastAsia="Arial" w:hAnsi="Arial"/>
          <w:color w:val="4A4A4A"/>
          <w:sz w:val="22"/>
          <w:szCs w:val="22"/>
        </w:rPr>
        <w:t xml:space="preserve">ML anomaly detection: The Isolation Forest model is currently trained on synthetic bunkering behaviour data. Transitioning to a model trained on real reviewer-labeled transactions requires accumulation of operational data.</w:t>
      </w:r>
    </w:p>
    <w:p>
      <w:pPr>
        <w:pStyle w:val="ListParagraph"/>
        <w:numPr>
          <w:ilvl w:val="0"/>
          <w:numId w:val="2"/>
        </w:numPr>
        <w:spacing w:after="80" w:before="40"/>
      </w:pPr>
      <w:r>
        <w:rPr>
          <w:rFonts w:ascii="Arial" w:cs="Arial" w:eastAsia="Arial" w:hAnsi="Arial"/>
          <w:color w:val="4A4A4A"/>
          <w:sz w:val="22"/>
          <w:szCs w:val="22"/>
        </w:rPr>
        <w:t xml:space="preserve">Handwritten OCR accuracy: While preprocessing improvements have significantly reduced noise, very low-quality scans (heavy smudging, torn documents, extreme lighting gradients) may produce incomplete extraction results and route documents to human review.</w:t>
      </w:r>
    </w:p>
    <w:p>
      <w:pPr>
        <w:pStyle w:val="ListParagraph"/>
        <w:numPr>
          <w:ilvl w:val="0"/>
          <w:numId w:val="2"/>
        </w:numPr>
        <w:spacing w:after="80" w:before="40"/>
      </w:pPr>
      <w:r>
        <w:rPr>
          <w:rFonts w:ascii="Arial" w:cs="Arial" w:eastAsia="Arial" w:hAnsi="Arial"/>
          <w:color w:val="4A4A4A"/>
          <w:sz w:val="22"/>
          <w:szCs w:val="22"/>
        </w:rPr>
        <w:t xml:space="preserve">AIS coverage: Vessels operating in areas with sparse AIS coverage or with transponders switched off will produce AIS gaps that penalise the confidence score even for legitimate transactions.</w:t>
      </w:r>
    </w:p>
    <w:p>
      <w:pPr>
        <w:pStyle w:val="ListParagraph"/>
        <w:numPr>
          <w:ilvl w:val="0"/>
          <w:numId w:val="2"/>
        </w:numPr>
        <w:spacing w:after="80" w:before="40"/>
      </w:pPr>
      <w:r>
        <w:rPr>
          <w:rFonts w:ascii="Arial" w:cs="Arial" w:eastAsia="Arial" w:hAnsi="Arial"/>
          <w:color w:val="4A4A4A"/>
          <w:sz w:val="22"/>
          <w:szCs w:val="22"/>
        </w:rPr>
        <w:t xml:space="preserve">Registry coverage: Vessel identity resolution depends on Datalastic API coverage. Vessels absent from the registry will generate VESSEL_NOT_FOUND alerts and reduce confidence scores.</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11. Deployment Guide</w:t>
      </w:r>
    </w:p>
    <w:p>
      <w:pPr>
        <w:pStyle w:val="Heading2"/>
        <w:spacing w:after="120" w:before="280"/>
      </w:pPr>
      <w:r>
        <w:rPr>
          <w:rFonts w:ascii="Arial" w:cs="Arial" w:eastAsia="Arial" w:hAnsi="Arial"/>
          <w:b/>
          <w:bCs/>
          <w:color w:val="0F6E56"/>
          <w:sz w:val="26"/>
          <w:szCs w:val="26"/>
        </w:rPr>
        <w:t xml:space="preserve">11.1 System Requirements</w:t>
      </w:r>
    </w:p>
    <w:p>
      <w:pPr>
        <w:pStyle w:val="ListParagraph"/>
        <w:numPr>
          <w:ilvl w:val="0"/>
          <w:numId w:val="2"/>
        </w:numPr>
        <w:spacing w:after="80" w:before="40"/>
      </w:pPr>
      <w:r>
        <w:rPr>
          <w:rFonts w:ascii="Arial" w:cs="Arial" w:eastAsia="Arial" w:hAnsi="Arial"/>
          <w:color w:val="4A4A4A"/>
          <w:sz w:val="22"/>
          <w:szCs w:val="22"/>
        </w:rPr>
        <w:t xml:space="preserve">Python 3.11 or later</w:t>
      </w:r>
    </w:p>
    <w:p>
      <w:pPr>
        <w:pStyle w:val="ListParagraph"/>
        <w:numPr>
          <w:ilvl w:val="0"/>
          <w:numId w:val="2"/>
        </w:numPr>
        <w:spacing w:after="80" w:before="40"/>
      </w:pPr>
      <w:r>
        <w:rPr>
          <w:rFonts w:ascii="Arial" w:cs="Arial" w:eastAsia="Arial" w:hAnsi="Arial"/>
          <w:color w:val="4A4A4A"/>
          <w:sz w:val="22"/>
          <w:szCs w:val="22"/>
        </w:rPr>
        <w:t xml:space="preserve">PostgreSQL 14 or later (or use in-memory fallback for pilot evaluation)</w:t>
      </w:r>
    </w:p>
    <w:p>
      <w:pPr>
        <w:pStyle w:val="ListParagraph"/>
        <w:numPr>
          <w:ilvl w:val="0"/>
          <w:numId w:val="2"/>
        </w:numPr>
        <w:spacing w:after="80" w:before="40"/>
      </w:pPr>
      <w:r>
        <w:rPr>
          <w:rFonts w:ascii="Arial" w:cs="Arial" w:eastAsia="Arial" w:hAnsi="Arial"/>
          <w:color w:val="4A4A4A"/>
          <w:sz w:val="22"/>
          <w:szCs w:val="22"/>
        </w:rPr>
        <w:t xml:space="preserve">Tesseract OCR 5.x installed and on system PATH (or path set via TESSERACT_PATH env var)</w:t>
      </w:r>
    </w:p>
    <w:p>
      <w:pPr>
        <w:pStyle w:val="ListParagraph"/>
        <w:numPr>
          <w:ilvl w:val="0"/>
          <w:numId w:val="2"/>
        </w:numPr>
        <w:spacing w:after="80" w:before="40"/>
      </w:pPr>
      <w:r>
        <w:rPr>
          <w:rFonts w:ascii="Arial" w:cs="Arial" w:eastAsia="Arial" w:hAnsi="Arial"/>
          <w:color w:val="4A4A4A"/>
          <w:sz w:val="22"/>
          <w:szCs w:val="22"/>
        </w:rPr>
        <w:t xml:space="preserve">spaCy English model: python -m spacy download en_core_web_sm</w:t>
      </w:r>
    </w:p>
    <w:p>
      <w:pPr>
        <w:pStyle w:val="ListParagraph"/>
        <w:numPr>
          <w:ilvl w:val="0"/>
          <w:numId w:val="2"/>
        </w:numPr>
        <w:spacing w:after="80" w:before="40"/>
      </w:pPr>
      <w:r>
        <w:rPr>
          <w:rFonts w:ascii="Arial" w:cs="Arial" w:eastAsia="Arial" w:hAnsi="Arial"/>
          <w:color w:val="4A4A4A"/>
          <w:sz w:val="22"/>
          <w:szCs w:val="22"/>
        </w:rPr>
        <w:t xml:space="preserve">4 GB RAM minimum recommended for the ML sentence transformer model</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11.2 Installation</w:t>
      </w:r>
    </w:p>
    <w:p>
      <w:pPr>
        <w:spacing w:after="60" w:before="0"/>
        <w:jc w:val="left"/>
      </w:pPr>
      <w:r>
        <w:rPr>
          <w:rFonts w:ascii="Arial" w:cs="Arial" w:eastAsia="Arial" w:hAnsi="Arial"/>
          <w:b w:val="false"/>
          <w:bCs w:val="false"/>
          <w:i w:val="false"/>
          <w:iCs w:val="false"/>
          <w:color w:val="4A4A4A"/>
          <w:sz w:val="22"/>
          <w:szCs w:val="22"/>
        </w:rPr>
        <w:t xml:space="preserve">git clone &lt;repository&gt;  &amp;&amp;  cd BDN-Validation</w:t>
      </w:r>
    </w:p>
    <w:p>
      <w:pPr>
        <w:spacing w:after="60" w:before="0"/>
        <w:jc w:val="left"/>
      </w:pPr>
      <w:r>
        <w:rPr>
          <w:rFonts w:ascii="Arial" w:cs="Arial" w:eastAsia="Arial" w:hAnsi="Arial"/>
          <w:b w:val="false"/>
          <w:bCs w:val="false"/>
          <w:i w:val="false"/>
          <w:iCs w:val="false"/>
          <w:color w:val="4A4A4A"/>
          <w:sz w:val="22"/>
          <w:szCs w:val="22"/>
        </w:rPr>
        <w:t xml:space="preserve">python -m venv .venv  &amp;&amp;  .venv\Scripts\activate   (Windows)</w:t>
      </w:r>
    </w:p>
    <w:p>
      <w:pPr>
        <w:spacing w:after="60" w:before="0"/>
        <w:jc w:val="left"/>
      </w:pPr>
      <w:r>
        <w:rPr>
          <w:rFonts w:ascii="Arial" w:cs="Arial" w:eastAsia="Arial" w:hAnsi="Arial"/>
          <w:b w:val="false"/>
          <w:bCs w:val="false"/>
          <w:i w:val="false"/>
          <w:iCs w:val="false"/>
          <w:color w:val="4A4A4A"/>
          <w:sz w:val="22"/>
          <w:szCs w:val="22"/>
        </w:rPr>
        <w:t xml:space="preserve">pip install -r requirements.txt</w:t>
      </w:r>
    </w:p>
    <w:p>
      <w:pPr>
        <w:spacing w:after="120" w:before="0"/>
        <w:jc w:val="left"/>
      </w:pPr>
      <w:r>
        <w:rPr>
          <w:rFonts w:ascii="Arial" w:cs="Arial" w:eastAsia="Arial" w:hAnsi="Arial"/>
          <w:b w:val="false"/>
          <w:bCs w:val="false"/>
          <w:i w:val="false"/>
          <w:iCs w:val="false"/>
          <w:color w:val="4A4A4A"/>
          <w:sz w:val="22"/>
          <w:szCs w:val="22"/>
        </w:rPr>
        <w:t xml:space="preserve">cp config/.env.example config/.env   # then edit credentials</w:t>
      </w:r>
    </w:p>
    <w:p>
      <w:pPr>
        <w:pStyle w:val="Heading2"/>
        <w:spacing w:after="120" w:before="280"/>
      </w:pPr>
      <w:r>
        <w:rPr>
          <w:rFonts w:ascii="Arial" w:cs="Arial" w:eastAsia="Arial" w:hAnsi="Arial"/>
          <w:b/>
          <w:bCs/>
          <w:color w:val="0F6E56"/>
          <w:sz w:val="26"/>
          <w:szCs w:val="26"/>
        </w:rPr>
        <w:t xml:space="preserve">11.3 Database Setup</w:t>
      </w:r>
    </w:p>
    <w:p>
      <w:pPr>
        <w:spacing w:after="60" w:before="0"/>
        <w:jc w:val="left"/>
      </w:pPr>
      <w:r>
        <w:rPr>
          <w:rFonts w:ascii="Arial" w:cs="Arial" w:eastAsia="Arial" w:hAnsi="Arial"/>
          <w:b w:val="false"/>
          <w:bCs w:val="false"/>
          <w:i w:val="false"/>
          <w:iCs w:val="false"/>
          <w:color w:val="4A4A4A"/>
          <w:sz w:val="22"/>
          <w:szCs w:val="22"/>
        </w:rPr>
        <w:t xml:space="preserve">python scripts/create_database.py     # creates DB and user</w:t>
      </w:r>
    </w:p>
    <w:p>
      <w:pPr>
        <w:spacing w:after="120" w:before="0"/>
        <w:jc w:val="left"/>
      </w:pPr>
      <w:r>
        <w:rPr>
          <w:rFonts w:ascii="Arial" w:cs="Arial" w:eastAsia="Arial" w:hAnsi="Arial"/>
          <w:b w:val="false"/>
          <w:bCs w:val="false"/>
          <w:i w:val="false"/>
          <w:iCs w:val="false"/>
          <w:color w:val="4A4A4A"/>
          <w:sz w:val="22"/>
          <w:szCs w:val="22"/>
        </w:rPr>
        <w:t xml:space="preserve">alembic upgrade head                  # applies all migrations</w:t>
      </w:r>
    </w:p>
    <w:p>
      <w:pPr>
        <w:pStyle w:val="Heading2"/>
        <w:spacing w:after="120" w:before="280"/>
      </w:pPr>
      <w:r>
        <w:rPr>
          <w:rFonts w:ascii="Arial" w:cs="Arial" w:eastAsia="Arial" w:hAnsi="Arial"/>
          <w:b/>
          <w:bCs/>
          <w:color w:val="0F6E56"/>
          <w:sz w:val="26"/>
          <w:szCs w:val="26"/>
        </w:rPr>
        <w:t xml:space="preserve">11.4 Starting the Service</w:t>
      </w:r>
    </w:p>
    <w:p>
      <w:pPr>
        <w:spacing w:after="60" w:before="0"/>
        <w:jc w:val="left"/>
      </w:pPr>
      <w:r>
        <w:rPr>
          <w:rFonts w:ascii="Arial" w:cs="Arial" w:eastAsia="Arial" w:hAnsi="Arial"/>
          <w:b w:val="false"/>
          <w:bCs w:val="false"/>
          <w:i w:val="false"/>
          <w:iCs w:val="false"/>
          <w:color w:val="4A4A4A"/>
          <w:sz w:val="22"/>
          <w:szCs w:val="22"/>
        </w:rPr>
        <w:t xml:space="preserve">python -m uvicorn main:app --reload          # development</w:t>
      </w:r>
    </w:p>
    <w:p>
      <w:pPr>
        <w:spacing w:after="160" w:before="0"/>
        <w:jc w:val="left"/>
      </w:pPr>
      <w:r>
        <w:rPr>
          <w:rFonts w:ascii="Arial" w:cs="Arial" w:eastAsia="Arial" w:hAnsi="Arial"/>
          <w:b w:val="false"/>
          <w:bCs w:val="false"/>
          <w:i w:val="false"/>
          <w:iCs w:val="false"/>
          <w:color w:val="4A4A4A"/>
          <w:sz w:val="22"/>
          <w:szCs w:val="22"/>
        </w:rPr>
        <w:t xml:space="preserve">python -m uvicorn main:app --host 0.0.0.0 --port 8000   # production</w:t>
      </w:r>
    </w:p>
    <w:p>
      <w:pPr>
        <w:pStyle w:val="Heading2"/>
        <w:spacing w:after="120" w:before="280"/>
      </w:pPr>
      <w:r>
        <w:rPr>
          <w:rFonts w:ascii="Arial" w:cs="Arial" w:eastAsia="Arial" w:hAnsi="Arial"/>
          <w:b/>
          <w:bCs/>
          <w:color w:val="0F6E56"/>
          <w:sz w:val="26"/>
          <w:szCs w:val="26"/>
        </w:rPr>
        <w:t xml:space="preserve">11.5 Offline / Demo Mode</w:t>
      </w:r>
    </w:p>
    <w:p>
      <w:pPr>
        <w:spacing w:after="120" w:before="0"/>
        <w:jc w:val="left"/>
      </w:pPr>
      <w:r>
        <w:rPr>
          <w:rFonts w:ascii="Arial" w:cs="Arial" w:eastAsia="Arial" w:hAnsi="Arial"/>
          <w:b w:val="false"/>
          <w:bCs w:val="false"/>
          <w:i w:val="false"/>
          <w:iCs w:val="false"/>
          <w:color w:val="4A4A4A"/>
          <w:sz w:val="22"/>
          <w:szCs w:val="22"/>
        </w:rPr>
        <w:t xml:space="preserve">Set pipeline.synthetic_ais_fallback: true in config/config.yaml to run full validation using generated AIS tracks when the Datalastic API is unavailable. Set pipeline.use_mock: true to skip OCR entirely and use seeded demo transactions for UI demonstration.</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12. Future Development Roadmap</w:t>
      </w:r>
    </w:p>
    <w:p>
      <w:pPr>
        <w:pStyle w:val="Heading2"/>
        <w:spacing w:after="120" w:before="280"/>
      </w:pPr>
      <w:r>
        <w:rPr>
          <w:rFonts w:ascii="Arial" w:cs="Arial" w:eastAsia="Arial" w:hAnsi="Arial"/>
          <w:b/>
          <w:bCs/>
          <w:color w:val="0F6E56"/>
          <w:sz w:val="26"/>
          <w:szCs w:val="26"/>
        </w:rPr>
        <w:t xml:space="preserve">Phase 1 — Data Instrumentation (0–4 weeks)</w:t>
      </w:r>
    </w:p>
    <w:p>
      <w:pPr>
        <w:pStyle w:val="ListParagraph"/>
        <w:numPr>
          <w:ilvl w:val="0"/>
          <w:numId w:val="2"/>
        </w:numPr>
        <w:spacing w:after="80" w:before="40"/>
      </w:pPr>
      <w:r>
        <w:rPr>
          <w:rFonts w:ascii="Arial" w:cs="Arial" w:eastAsia="Arial" w:hAnsi="Arial"/>
          <w:color w:val="4A4A4A"/>
          <w:sz w:val="22"/>
          <w:szCs w:val="22"/>
        </w:rPr>
        <w:t xml:space="preserve">Persist a structured feature vector (all rule engine sub-scores, fraud flags, field completeness metrics) alongside every transaction in the database.</w:t>
      </w:r>
    </w:p>
    <w:p>
      <w:pPr>
        <w:pStyle w:val="ListParagraph"/>
        <w:numPr>
          <w:ilvl w:val="0"/>
          <w:numId w:val="2"/>
        </w:numPr>
        <w:spacing w:after="80" w:before="40"/>
      </w:pPr>
      <w:r>
        <w:rPr>
          <w:rFonts w:ascii="Arial" w:cs="Arial" w:eastAsia="Arial" w:hAnsi="Arial"/>
          <w:color w:val="4A4A4A"/>
          <w:sz w:val="22"/>
          <w:szCs w:val="22"/>
        </w:rPr>
        <w:t xml:space="preserve">Capture every reviewer decision as a labeled training example (transaction features + VALID/FRAUD label + reviewer confidence signal).</w:t>
      </w:r>
    </w:p>
    <w:p>
      <w:pPr>
        <w:pStyle w:val="ListParagraph"/>
        <w:numPr>
          <w:ilvl w:val="0"/>
          <w:numId w:val="2"/>
        </w:numPr>
        <w:spacing w:after="80" w:before="40"/>
      </w:pPr>
      <w:r>
        <w:rPr>
          <w:rFonts w:ascii="Arial" w:cs="Arial" w:eastAsia="Arial" w:hAnsi="Arial"/>
          <w:color w:val="4A4A4A"/>
          <w:sz w:val="22"/>
          <w:szCs w:val="22"/>
        </w:rPr>
        <w:t xml:space="preserve">Use the rule engine as a weak labeler for transactions where the system is highly confident (≥90% or ≤10%), generating hundreds of pseudo-labels from operational volume.</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Phase 2 — Learned Scoring Model (4–10 weeks)</w:t>
      </w:r>
    </w:p>
    <w:p>
      <w:pPr>
        <w:pStyle w:val="ListParagraph"/>
        <w:numPr>
          <w:ilvl w:val="0"/>
          <w:numId w:val="2"/>
        </w:numPr>
        <w:spacing w:after="80" w:before="40"/>
      </w:pPr>
      <w:r>
        <w:rPr>
          <w:rFonts w:ascii="Arial" w:cs="Arial" w:eastAsia="Arial" w:hAnsi="Arial"/>
          <w:color w:val="4A4A4A"/>
          <w:sz w:val="22"/>
          <w:szCs w:val="22"/>
        </w:rPr>
        <w:t xml:space="preserve">Replace the fixed 35/25/40 confidence weights with a trained XGBoost classifier operating on the same feature vector. Gradient boosted trees are well-suited to small, tabular datasets (100–300 examples sufficient) and produce feature importance scores for explainability.</w:t>
      </w:r>
    </w:p>
    <w:p>
      <w:pPr>
        <w:pStyle w:val="ListParagraph"/>
        <w:numPr>
          <w:ilvl w:val="0"/>
          <w:numId w:val="2"/>
        </w:numPr>
        <w:spacing w:after="80" w:before="40"/>
      </w:pPr>
      <w:r>
        <w:rPr>
          <w:rFonts w:ascii="Arial" w:cs="Arial" w:eastAsia="Arial" w:hAnsi="Arial"/>
          <w:color w:val="4A4A4A"/>
          <w:sz w:val="22"/>
          <w:szCs w:val="22"/>
        </w:rPr>
        <w:t xml:space="preserve">Train on weak labels initially, refine with strong reviewer labels. Retrain weekly as new labeled data accumulates.</w:t>
      </w:r>
    </w:p>
    <w:p>
      <w:pPr>
        <w:pStyle w:val="ListParagraph"/>
        <w:numPr>
          <w:ilvl w:val="0"/>
          <w:numId w:val="2"/>
        </w:numPr>
        <w:spacing w:after="80" w:before="40"/>
      </w:pPr>
      <w:r>
        <w:rPr>
          <w:rFonts w:ascii="Arial" w:cs="Arial" w:eastAsia="Arial" w:hAnsi="Arial"/>
          <w:color w:val="4A4A4A"/>
          <w:sz w:val="22"/>
          <w:szCs w:val="22"/>
        </w:rPr>
        <w:t xml:space="preserve">Expose per-prediction feature importance in the dashboard so reviewers understand which signals drove the score.</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Phase 3 — LLM Augmentation (2–4 months)</w:t>
      </w:r>
    </w:p>
    <w:p>
      <w:pPr>
        <w:pStyle w:val="ListParagraph"/>
        <w:numPr>
          <w:ilvl w:val="0"/>
          <w:numId w:val="2"/>
        </w:numPr>
        <w:spacing w:after="80" w:before="40"/>
      </w:pPr>
      <w:r>
        <w:rPr>
          <w:rFonts w:ascii="Arial" w:cs="Arial" w:eastAsia="Arial" w:hAnsi="Arial"/>
          <w:color w:val="4A4A4A"/>
          <w:sz w:val="22"/>
          <w:szCs w:val="22"/>
        </w:rPr>
        <w:t xml:space="preserve">Replace Tesseract with a vision LLM (e.g., Claude Vision API) for handwritten BDN extraction. Structured JSON output per field, no regex required, handles arbitrary layouts. Falls back to Tesseract when API unavailable.</w:t>
      </w:r>
    </w:p>
    <w:p>
      <w:pPr>
        <w:pStyle w:val="ListParagraph"/>
        <w:numPr>
          <w:ilvl w:val="0"/>
          <w:numId w:val="2"/>
        </w:numPr>
        <w:spacing w:after="80" w:before="40"/>
      </w:pPr>
      <w:r>
        <w:rPr>
          <w:rFonts w:ascii="Arial" w:cs="Arial" w:eastAsia="Arial" w:hAnsi="Arial"/>
          <w:color w:val="4A4A4A"/>
          <w:sz w:val="22"/>
          <w:szCs w:val="22"/>
        </w:rPr>
        <w:t xml:space="preserve">Use an LLM to generate natural-language rationale for each suspicious verdict, displayed to reviewers in the review panel.</w:t>
      </w:r>
    </w:p>
    <w:p>
      <w:pPr>
        <w:pStyle w:val="ListParagraph"/>
        <w:numPr>
          <w:ilvl w:val="0"/>
          <w:numId w:val="2"/>
        </w:numPr>
        <w:spacing w:after="80" w:before="40"/>
      </w:pPr>
      <w:r>
        <w:rPr>
          <w:rFonts w:ascii="Arial" w:cs="Arial" w:eastAsia="Arial" w:hAnsi="Arial"/>
          <w:color w:val="4A4A4A"/>
          <w:sz w:val="22"/>
          <w:szCs w:val="22"/>
        </w:rPr>
        <w:t xml:space="preserve">Generate synthetic training BDNs via LLM to augment the limited real document set for OCR regression testing.</w:t>
      </w:r>
    </w:p>
    <w:p>
      <w:pPr>
        <w:spacing w:after="80" w:before="0"/>
      </w:pPr>
      <w:r>
        <w:t xml:space="preserve"/>
      </w:r>
    </w:p>
    <w:p>
      <w:pPr>
        <w:pStyle w:val="Heading2"/>
        <w:spacing w:after="120" w:before="280"/>
      </w:pPr>
      <w:r>
        <w:rPr>
          <w:rFonts w:ascii="Arial" w:cs="Arial" w:eastAsia="Arial" w:hAnsi="Arial"/>
          <w:b/>
          <w:bCs/>
          <w:color w:val="0F6E56"/>
          <w:sz w:val="26"/>
          <w:szCs w:val="26"/>
        </w:rPr>
        <w:t xml:space="preserve">Phase 4 — Active Learning Queue (ongoing)</w:t>
      </w:r>
    </w:p>
    <w:p>
      <w:pPr>
        <w:pStyle w:val="ListParagraph"/>
        <w:numPr>
          <w:ilvl w:val="0"/>
          <w:numId w:val="2"/>
        </w:numPr>
        <w:spacing w:after="80" w:before="40"/>
      </w:pPr>
      <w:r>
        <w:rPr>
          <w:rFonts w:ascii="Arial" w:cs="Arial" w:eastAsia="Arial" w:hAnsi="Arial"/>
          <w:color w:val="4A4A4A"/>
          <w:sz w:val="22"/>
          <w:szCs w:val="22"/>
        </w:rPr>
        <w:t xml:space="preserve">Route cases by model uncertainty (prediction probability near 0.50) rather than verdict tier. These are the cases where reviewer effort creates the most model improvement.</w:t>
      </w:r>
    </w:p>
    <w:p>
      <w:pPr>
        <w:pStyle w:val="ListParagraph"/>
        <w:numPr>
          <w:ilvl w:val="0"/>
          <w:numId w:val="2"/>
        </w:numPr>
        <w:spacing w:after="80" w:before="40"/>
      </w:pPr>
      <w:r>
        <w:rPr>
          <w:rFonts w:ascii="Arial" w:cs="Arial" w:eastAsia="Arial" w:hAnsi="Arial"/>
          <w:color w:val="4A4A4A"/>
          <w:sz w:val="22"/>
          <w:szCs w:val="22"/>
        </w:rPr>
        <w:t xml:space="preserve">Auto-approve transactions where both rule engine and model independently score ≥90%.</w:t>
      </w:r>
    </w:p>
    <w:p>
      <w:pPr>
        <w:pStyle w:val="ListParagraph"/>
        <w:numPr>
          <w:ilvl w:val="0"/>
          <w:numId w:val="2"/>
        </w:numPr>
        <w:spacing w:after="80" w:before="40"/>
      </w:pPr>
      <w:r>
        <w:rPr>
          <w:rFonts w:ascii="Arial" w:cs="Arial" w:eastAsia="Arial" w:hAnsi="Arial"/>
          <w:color w:val="4A4A4A"/>
          <w:sz w:val="22"/>
          <w:szCs w:val="22"/>
        </w:rPr>
        <w:t xml:space="preserve">Track reviewer agreement rates and flag systematic divergence for calibration.</w:t>
      </w:r>
    </w:p>
    <w:p>
      <w:r>
        <w:br w:type="page"/>
      </w:r>
    </w:p>
    <w:p>
      <w:pPr>
        <w:pStyle w:val="Heading1"/>
        <w:pBdr>
          <w:bottom w:val="single" w:color="1B3A5C" w:sz="6" w:space="6"/>
        </w:pBdr>
        <w:spacing w:after="180" w:before="360"/>
      </w:pPr>
      <w:r>
        <w:rPr>
          <w:rFonts w:ascii="Arial" w:cs="Arial" w:eastAsia="Arial" w:hAnsi="Arial"/>
          <w:b/>
          <w:bCs/>
          <w:color w:val="1B3A5C"/>
          <w:sz w:val="32"/>
          <w:szCs w:val="32"/>
        </w:rPr>
        <w:t xml:space="preserve">13. Conclusion</w:t>
      </w:r>
    </w:p>
    <w:p>
      <w:pPr>
        <w:spacing w:after="160" w:before="0"/>
        <w:jc w:val="left"/>
      </w:pPr>
      <w:r>
        <w:rPr>
          <w:rFonts w:ascii="Arial" w:cs="Arial" w:eastAsia="Arial" w:hAnsi="Arial"/>
          <w:b w:val="false"/>
          <w:bCs w:val="false"/>
          <w:i w:val="false"/>
          <w:iCs w:val="false"/>
          <w:color w:val="4A4A4A"/>
          <w:sz w:val="22"/>
          <w:szCs w:val="22"/>
        </w:rPr>
        <w:t xml:space="preserve">The 129Knots BDN Validation System delivers a complete, production-ready automated pipeline for maritime bunker fraud detection and MARPOL compliance verification. The system successfully automates a process that previously required hours of manual cross-referencing, reducing it to a sub-20-second automated workflow with a structured, explainable verdict.</w:t>
      </w:r>
    </w:p>
    <w:p>
      <w:pPr>
        <w:spacing w:after="160" w:before="0"/>
        <w:jc w:val="left"/>
      </w:pPr>
      <w:r>
        <w:rPr>
          <w:rFonts w:ascii="Arial" w:cs="Arial" w:eastAsia="Arial" w:hAnsi="Arial"/>
          <w:b w:val="false"/>
          <w:bCs w:val="false"/>
          <w:i w:val="false"/>
          <w:iCs w:val="false"/>
          <w:color w:val="4A4A4A"/>
          <w:sz w:val="22"/>
          <w:szCs w:val="22"/>
        </w:rPr>
        <w:t xml:space="preserve">The current implementation establishes all the foundational infrastructure required for the planned ML transition: structured feature extraction, a human review workflow that naturally generates labeled training data, and a configurable scoring layer that can be replaced with a learned model without architectural changes.</w:t>
      </w:r>
    </w:p>
    <w:p>
      <w:pPr>
        <w:spacing w:after="160" w:before="0"/>
        <w:jc w:val="left"/>
      </w:pPr>
      <w:r>
        <w:rPr>
          <w:rFonts w:ascii="Arial" w:cs="Arial" w:eastAsia="Arial" w:hAnsi="Arial"/>
          <w:b w:val="false"/>
          <w:bCs w:val="false"/>
          <w:i w:val="false"/>
          <w:iCs w:val="false"/>
          <w:color w:val="4A4A4A"/>
          <w:sz w:val="22"/>
          <w:szCs w:val="22"/>
        </w:rPr>
        <w:t xml:space="preserve">The system is ready for pilot deployment. Operational use during the pilot phase will simultaneously validate the current rule-based approach in a real environment and begin accumulating the labeled data necessary to train the next-generation scoring model.</w:t>
      </w:r>
    </w:p>
    <w:p>
      <w:pPr>
        <w:spacing w:after="120" w:before="0"/>
      </w:pPr>
      <w:r>
        <w:t xml:space="preserve"/>
      </w:r>
    </w:p>
    <w:p>
      <w:pPr>
        <w:pBdr>
          <w:top w:val="single" w:color="1B3A5C" w:sz="4"/>
        </w:pBdr>
        <w:spacing w:after="60" w:before="200"/>
        <w:jc w:val="center"/>
      </w:pPr>
      <w:r>
        <w:rPr>
          <w:rFonts w:ascii="Arial" w:cs="Arial" w:eastAsia="Arial" w:hAnsi="Arial"/>
          <w:i/>
          <w:iCs/>
          <w:color w:val="6B7280"/>
          <w:sz w:val="20"/>
          <w:szCs w:val="20"/>
        </w:rPr>
        <w:t xml:space="preserve">Prepared by 129Knots Development Team  •  July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before="80"/>
      <w:jc w:val="center"/>
    </w:pPr>
    <w:r>
      <w:rPr>
        <w:rFonts w:ascii="Arial" w:cs="Arial" w:eastAsia="Arial" w:hAnsi="Arial"/>
        <w:color w:val="6B7280"/>
        <w:sz w:val="18"/>
        <w:szCs w:val="18"/>
      </w:rPr>
      <w:t xml:space="preserve">129Knots Pte Ltd  •  Project Technical Report  •  July 2026  •  Page </w:t>
    </w:r>
    <w:r>
      <w:rPr>
        <w:rFonts w:ascii="Arial" w:cs="Arial" w:eastAsia="Arial" w:hAnsi="Arial"/>
        <w:color w:val="1B3A5C"/>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1B3A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spacing w:after="80" w:before="0"/>
      <w:jc w:val="right"/>
    </w:pPr>
    <w:r>
      <w:rPr>
        <w:rFonts w:ascii="Arial" w:cs="Arial" w:eastAsia="Arial" w:hAnsi="Arial"/>
        <w:color w:val="6B7280"/>
        <w:sz w:val="18"/>
        <w:szCs w:val="18"/>
      </w:rPr>
      <w:t xml:space="preserve">129Knots  |  </w:t>
    </w:r>
    <w:r>
      <w:rPr>
        <w:rFonts w:ascii="Arial" w:cs="Arial" w:eastAsia="Arial" w:hAnsi="Arial"/>
        <w:b/>
        <w:bCs/>
        <w:color w:val="1B3A5C"/>
        <w:sz w:val="18"/>
        <w:szCs w:val="18"/>
      </w:rPr>
      <w:t xml:space="preserve">BDN Validation System</w:t>
    </w:r>
    <w:r>
      <w:rPr>
        <w:rFonts w:ascii="Arial" w:cs="Arial" w:eastAsia="Arial" w:hAnsi="Arial"/>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abstractNum w:abstractNumId="3" w15:restartNumberingAfterBreak="0">
    <w:multiLevelType w:val="hybridMultilevel"/>
    <w:lvl w:ilvl="0" w15:tentative="1">
      <w:start w:val="1"/>
      <w:numFmt w:val="bullet"/>
      <w:lvlText w:val="◦"/>
      <w:lvlJc w:val="left"/>
      <w:pPr>
        <w:spacing w:after="60" w:before="20"/>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2026-07-07T18:53:46.590Z</dcterms:created>
  <dcterms:modified xsi:type="dcterms:W3CDTF">2026-07-07T18:53:46.592Z</dcterms:modified>
</cp:coreProperties>
</file>

<file path=docProps/custom.xml><?xml version="1.0" encoding="utf-8"?>
<Properties xmlns="http://schemas.openxmlformats.org/officeDocument/2006/custom-properties" xmlns:vt="http://schemas.openxmlformats.org/officeDocument/2006/docPropsVTypes"/>
</file>