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800" w:type="dxa"/>
        <w:tblLook w:val="04A0" w:firstRow="1" w:lastRow="0" w:firstColumn="1" w:lastColumn="0" w:noHBand="0" w:noVBand="1"/>
      </w:tblPr>
      <w:tblGrid>
        <w:gridCol w:w="1446"/>
        <w:gridCol w:w="1374"/>
        <w:gridCol w:w="1374"/>
        <w:gridCol w:w="1374"/>
        <w:gridCol w:w="1374"/>
        <w:gridCol w:w="1300"/>
      </w:tblGrid>
      <w:tr w:rsidR="00202639" w14:paraId="035D4BBE" w14:textId="77777777" w:rsidTr="00202639">
        <w:trPr>
          <w:trHeight w:val="320"/>
        </w:trPr>
        <w:tc>
          <w:tcPr>
            <w:tcW w:w="1300" w:type="dxa"/>
            <w:tcBorders>
              <w:top w:val="nil"/>
              <w:left w:val="nil"/>
              <w:bottom w:val="nil"/>
              <w:right w:val="nil"/>
            </w:tcBorders>
            <w:shd w:val="clear" w:color="auto" w:fill="auto"/>
            <w:noWrap/>
            <w:vAlign w:val="bottom"/>
            <w:hideMark/>
          </w:tcPr>
          <w:p w14:paraId="455925A9" w14:textId="77777777" w:rsidR="00202639" w:rsidRDefault="00202639"/>
        </w:tc>
        <w:tc>
          <w:tcPr>
            <w:tcW w:w="1300" w:type="dxa"/>
            <w:tcBorders>
              <w:top w:val="nil"/>
              <w:left w:val="nil"/>
              <w:bottom w:val="nil"/>
              <w:right w:val="nil"/>
            </w:tcBorders>
            <w:shd w:val="clear" w:color="auto" w:fill="auto"/>
            <w:noWrap/>
            <w:vAlign w:val="bottom"/>
            <w:hideMark/>
          </w:tcPr>
          <w:p w14:paraId="08069146" w14:textId="77777777" w:rsidR="00202639" w:rsidRDefault="00202639">
            <w:pPr>
              <w:rPr>
                <w:rFonts w:ascii="Aptos Narrow" w:hAnsi="Aptos Narrow"/>
                <w:color w:val="000000"/>
              </w:rPr>
            </w:pPr>
            <w:r>
              <w:rPr>
                <w:rFonts w:ascii="Aptos Narrow" w:hAnsi="Aptos Narrow"/>
                <w:color w:val="000000"/>
              </w:rPr>
              <w:t>Estimate</w:t>
            </w:r>
          </w:p>
        </w:tc>
        <w:tc>
          <w:tcPr>
            <w:tcW w:w="1300" w:type="dxa"/>
            <w:tcBorders>
              <w:top w:val="nil"/>
              <w:left w:val="nil"/>
              <w:bottom w:val="nil"/>
              <w:right w:val="nil"/>
            </w:tcBorders>
            <w:shd w:val="clear" w:color="auto" w:fill="auto"/>
            <w:noWrap/>
            <w:vAlign w:val="bottom"/>
            <w:hideMark/>
          </w:tcPr>
          <w:p w14:paraId="7EFFEBD7" w14:textId="77777777" w:rsidR="00202639" w:rsidRDefault="00202639">
            <w:pPr>
              <w:rPr>
                <w:rFonts w:ascii="Aptos Narrow" w:hAnsi="Aptos Narrow"/>
                <w:color w:val="000000"/>
              </w:rPr>
            </w:pPr>
            <w:proofErr w:type="spellStart"/>
            <w:r>
              <w:rPr>
                <w:rFonts w:ascii="Aptos Narrow" w:hAnsi="Aptos Narrow"/>
                <w:color w:val="000000"/>
              </w:rPr>
              <w:t>Std..Error</w:t>
            </w:r>
            <w:proofErr w:type="spellEnd"/>
          </w:p>
        </w:tc>
        <w:tc>
          <w:tcPr>
            <w:tcW w:w="1300" w:type="dxa"/>
            <w:tcBorders>
              <w:top w:val="nil"/>
              <w:left w:val="nil"/>
              <w:bottom w:val="nil"/>
              <w:right w:val="nil"/>
            </w:tcBorders>
            <w:shd w:val="clear" w:color="auto" w:fill="auto"/>
            <w:noWrap/>
            <w:vAlign w:val="bottom"/>
            <w:hideMark/>
          </w:tcPr>
          <w:p w14:paraId="3B0786E6" w14:textId="77777777" w:rsidR="00202639" w:rsidRDefault="00202639">
            <w:pPr>
              <w:rPr>
                <w:rFonts w:ascii="Aptos Narrow" w:hAnsi="Aptos Narrow"/>
                <w:color w:val="000000"/>
              </w:rPr>
            </w:pPr>
            <w:r>
              <w:rPr>
                <w:rFonts w:ascii="Aptos Narrow" w:hAnsi="Aptos Narrow"/>
                <w:color w:val="000000"/>
              </w:rPr>
              <w:t>LCL</w:t>
            </w:r>
          </w:p>
        </w:tc>
        <w:tc>
          <w:tcPr>
            <w:tcW w:w="1300" w:type="dxa"/>
            <w:tcBorders>
              <w:top w:val="nil"/>
              <w:left w:val="nil"/>
              <w:bottom w:val="nil"/>
              <w:right w:val="nil"/>
            </w:tcBorders>
            <w:shd w:val="clear" w:color="auto" w:fill="auto"/>
            <w:noWrap/>
            <w:vAlign w:val="bottom"/>
            <w:hideMark/>
          </w:tcPr>
          <w:p w14:paraId="2ACEFFB2" w14:textId="77777777" w:rsidR="00202639" w:rsidRDefault="00202639">
            <w:pPr>
              <w:rPr>
                <w:rFonts w:ascii="Aptos Narrow" w:hAnsi="Aptos Narrow"/>
                <w:color w:val="000000"/>
              </w:rPr>
            </w:pPr>
            <w:r>
              <w:rPr>
                <w:rFonts w:ascii="Aptos Narrow" w:hAnsi="Aptos Narrow"/>
                <w:color w:val="000000"/>
              </w:rPr>
              <w:t>UCL</w:t>
            </w:r>
          </w:p>
        </w:tc>
        <w:tc>
          <w:tcPr>
            <w:tcW w:w="1300" w:type="dxa"/>
            <w:tcBorders>
              <w:top w:val="nil"/>
              <w:left w:val="nil"/>
              <w:bottom w:val="nil"/>
              <w:right w:val="nil"/>
            </w:tcBorders>
            <w:shd w:val="clear" w:color="auto" w:fill="auto"/>
            <w:noWrap/>
            <w:vAlign w:val="bottom"/>
            <w:hideMark/>
          </w:tcPr>
          <w:p w14:paraId="623416D8" w14:textId="77777777" w:rsidR="00202639" w:rsidRDefault="00202639">
            <w:pPr>
              <w:rPr>
                <w:rFonts w:ascii="Aptos Narrow" w:hAnsi="Aptos Narrow"/>
                <w:color w:val="000000"/>
              </w:rPr>
            </w:pPr>
            <w:r>
              <w:rPr>
                <w:rFonts w:ascii="Aptos Narrow" w:hAnsi="Aptos Narrow"/>
                <w:color w:val="000000"/>
              </w:rPr>
              <w:t>Contrast</w:t>
            </w:r>
          </w:p>
        </w:tc>
      </w:tr>
      <w:tr w:rsidR="00202639" w14:paraId="0E5B32E6" w14:textId="77777777" w:rsidTr="00202639">
        <w:trPr>
          <w:trHeight w:val="320"/>
        </w:trPr>
        <w:tc>
          <w:tcPr>
            <w:tcW w:w="1300" w:type="dxa"/>
            <w:tcBorders>
              <w:top w:val="nil"/>
              <w:left w:val="nil"/>
              <w:bottom w:val="nil"/>
              <w:right w:val="nil"/>
            </w:tcBorders>
            <w:shd w:val="clear" w:color="auto" w:fill="auto"/>
            <w:noWrap/>
            <w:vAlign w:val="bottom"/>
            <w:hideMark/>
          </w:tcPr>
          <w:p w14:paraId="2D2F6163" w14:textId="77777777" w:rsidR="00202639" w:rsidRDefault="00202639">
            <w:pPr>
              <w:rPr>
                <w:rFonts w:ascii="Aptos Narrow" w:hAnsi="Aptos Narrow"/>
                <w:color w:val="000000"/>
              </w:rPr>
            </w:pPr>
            <w:r>
              <w:rPr>
                <w:rFonts w:ascii="Aptos Narrow" w:hAnsi="Aptos Narrow"/>
                <w:color w:val="000000"/>
              </w:rPr>
              <w:t>NH_WHITE</w:t>
            </w:r>
          </w:p>
        </w:tc>
        <w:tc>
          <w:tcPr>
            <w:tcW w:w="1300" w:type="dxa"/>
            <w:tcBorders>
              <w:top w:val="nil"/>
              <w:left w:val="nil"/>
              <w:bottom w:val="nil"/>
              <w:right w:val="nil"/>
            </w:tcBorders>
            <w:shd w:val="clear" w:color="auto" w:fill="auto"/>
            <w:noWrap/>
            <w:vAlign w:val="bottom"/>
            <w:hideMark/>
          </w:tcPr>
          <w:p w14:paraId="0DB7D0A2" w14:textId="77777777" w:rsidR="00202639" w:rsidRDefault="00202639">
            <w:pPr>
              <w:jc w:val="right"/>
              <w:rPr>
                <w:rFonts w:ascii="Aptos Narrow" w:hAnsi="Aptos Narrow"/>
                <w:color w:val="000000"/>
              </w:rPr>
            </w:pPr>
            <w:r>
              <w:rPr>
                <w:rFonts w:ascii="Aptos Narrow" w:hAnsi="Aptos Narrow"/>
                <w:color w:val="000000"/>
              </w:rPr>
              <w:t>0.23326802</w:t>
            </w:r>
          </w:p>
        </w:tc>
        <w:tc>
          <w:tcPr>
            <w:tcW w:w="1300" w:type="dxa"/>
            <w:tcBorders>
              <w:top w:val="nil"/>
              <w:left w:val="nil"/>
              <w:bottom w:val="nil"/>
              <w:right w:val="nil"/>
            </w:tcBorders>
            <w:shd w:val="clear" w:color="auto" w:fill="auto"/>
            <w:noWrap/>
            <w:vAlign w:val="bottom"/>
            <w:hideMark/>
          </w:tcPr>
          <w:p w14:paraId="5FCB9D22" w14:textId="77777777" w:rsidR="00202639" w:rsidRDefault="00202639">
            <w:pPr>
              <w:jc w:val="right"/>
              <w:rPr>
                <w:rFonts w:ascii="Aptos Narrow" w:hAnsi="Aptos Narrow"/>
                <w:color w:val="000000"/>
              </w:rPr>
            </w:pPr>
            <w:r>
              <w:rPr>
                <w:rFonts w:ascii="Aptos Narrow" w:hAnsi="Aptos Narrow"/>
                <w:color w:val="000000"/>
              </w:rPr>
              <w:t>0.02436509</w:t>
            </w:r>
          </w:p>
        </w:tc>
        <w:tc>
          <w:tcPr>
            <w:tcW w:w="1300" w:type="dxa"/>
            <w:tcBorders>
              <w:top w:val="nil"/>
              <w:left w:val="nil"/>
              <w:bottom w:val="nil"/>
              <w:right w:val="nil"/>
            </w:tcBorders>
            <w:shd w:val="clear" w:color="auto" w:fill="auto"/>
            <w:noWrap/>
            <w:vAlign w:val="bottom"/>
            <w:hideMark/>
          </w:tcPr>
          <w:p w14:paraId="215809BB" w14:textId="77777777" w:rsidR="00202639" w:rsidRDefault="00202639">
            <w:pPr>
              <w:jc w:val="right"/>
              <w:rPr>
                <w:rFonts w:ascii="Aptos Narrow" w:hAnsi="Aptos Narrow"/>
                <w:color w:val="000000"/>
              </w:rPr>
            </w:pPr>
            <w:r>
              <w:rPr>
                <w:rFonts w:ascii="Aptos Narrow" w:hAnsi="Aptos Narrow"/>
                <w:color w:val="000000"/>
              </w:rPr>
              <w:t>0.18551245</w:t>
            </w:r>
          </w:p>
        </w:tc>
        <w:tc>
          <w:tcPr>
            <w:tcW w:w="1300" w:type="dxa"/>
            <w:tcBorders>
              <w:top w:val="nil"/>
              <w:left w:val="nil"/>
              <w:bottom w:val="nil"/>
              <w:right w:val="nil"/>
            </w:tcBorders>
            <w:shd w:val="clear" w:color="auto" w:fill="auto"/>
            <w:noWrap/>
            <w:vAlign w:val="bottom"/>
            <w:hideMark/>
          </w:tcPr>
          <w:p w14:paraId="4979FF62" w14:textId="77777777" w:rsidR="00202639" w:rsidRDefault="00202639">
            <w:pPr>
              <w:jc w:val="right"/>
              <w:rPr>
                <w:rFonts w:ascii="Aptos Narrow" w:hAnsi="Aptos Narrow"/>
                <w:color w:val="000000"/>
              </w:rPr>
            </w:pPr>
            <w:r>
              <w:rPr>
                <w:rFonts w:ascii="Aptos Narrow" w:hAnsi="Aptos Narrow"/>
                <w:color w:val="000000"/>
              </w:rPr>
              <w:t>0.2810236</w:t>
            </w:r>
          </w:p>
        </w:tc>
        <w:tc>
          <w:tcPr>
            <w:tcW w:w="1300" w:type="dxa"/>
            <w:tcBorders>
              <w:top w:val="nil"/>
              <w:left w:val="nil"/>
              <w:bottom w:val="nil"/>
              <w:right w:val="nil"/>
            </w:tcBorders>
            <w:shd w:val="clear" w:color="auto" w:fill="auto"/>
            <w:noWrap/>
            <w:vAlign w:val="bottom"/>
            <w:hideMark/>
          </w:tcPr>
          <w:p w14:paraId="68473222" w14:textId="77777777" w:rsidR="00202639" w:rsidRDefault="00202639">
            <w:pPr>
              <w:rPr>
                <w:rFonts w:ascii="Aptos Narrow" w:hAnsi="Aptos Narrow"/>
                <w:color w:val="000000"/>
              </w:rPr>
            </w:pPr>
            <w:r>
              <w:rPr>
                <w:rFonts w:ascii="Aptos Narrow" w:hAnsi="Aptos Narrow"/>
                <w:color w:val="000000"/>
              </w:rPr>
              <w:t>Overall</w:t>
            </w:r>
          </w:p>
        </w:tc>
      </w:tr>
      <w:tr w:rsidR="00202639" w14:paraId="6E2A4820" w14:textId="77777777" w:rsidTr="00202639">
        <w:trPr>
          <w:trHeight w:val="320"/>
        </w:trPr>
        <w:tc>
          <w:tcPr>
            <w:tcW w:w="1300" w:type="dxa"/>
            <w:tcBorders>
              <w:top w:val="nil"/>
              <w:left w:val="nil"/>
              <w:bottom w:val="nil"/>
              <w:right w:val="nil"/>
            </w:tcBorders>
            <w:shd w:val="clear" w:color="auto" w:fill="auto"/>
            <w:noWrap/>
            <w:vAlign w:val="bottom"/>
            <w:hideMark/>
          </w:tcPr>
          <w:p w14:paraId="5BBC4E49" w14:textId="77777777" w:rsidR="00202639" w:rsidRDefault="00202639">
            <w:pPr>
              <w:rPr>
                <w:rFonts w:ascii="Aptos Narrow" w:hAnsi="Aptos Narrow"/>
                <w:color w:val="000000"/>
              </w:rPr>
            </w:pPr>
            <w:r>
              <w:rPr>
                <w:rFonts w:ascii="Aptos Narrow" w:hAnsi="Aptos Narrow"/>
                <w:color w:val="000000"/>
              </w:rPr>
              <w:t>HISPANIC</w:t>
            </w:r>
          </w:p>
        </w:tc>
        <w:tc>
          <w:tcPr>
            <w:tcW w:w="1300" w:type="dxa"/>
            <w:tcBorders>
              <w:top w:val="nil"/>
              <w:left w:val="nil"/>
              <w:bottom w:val="nil"/>
              <w:right w:val="nil"/>
            </w:tcBorders>
            <w:shd w:val="clear" w:color="auto" w:fill="auto"/>
            <w:noWrap/>
            <w:vAlign w:val="bottom"/>
            <w:hideMark/>
          </w:tcPr>
          <w:p w14:paraId="62143137" w14:textId="77777777" w:rsidR="00202639" w:rsidRDefault="00202639">
            <w:pPr>
              <w:jc w:val="right"/>
              <w:rPr>
                <w:rFonts w:ascii="Aptos Narrow" w:hAnsi="Aptos Narrow"/>
                <w:color w:val="000000"/>
              </w:rPr>
            </w:pPr>
            <w:r>
              <w:rPr>
                <w:rFonts w:ascii="Aptos Narrow" w:hAnsi="Aptos Narrow"/>
                <w:color w:val="000000"/>
              </w:rPr>
              <w:t>0.23457817</w:t>
            </w:r>
          </w:p>
        </w:tc>
        <w:tc>
          <w:tcPr>
            <w:tcW w:w="1300" w:type="dxa"/>
            <w:tcBorders>
              <w:top w:val="nil"/>
              <w:left w:val="nil"/>
              <w:bottom w:val="nil"/>
              <w:right w:val="nil"/>
            </w:tcBorders>
            <w:shd w:val="clear" w:color="auto" w:fill="auto"/>
            <w:noWrap/>
            <w:vAlign w:val="bottom"/>
            <w:hideMark/>
          </w:tcPr>
          <w:p w14:paraId="3BB0FDFF" w14:textId="77777777" w:rsidR="00202639" w:rsidRDefault="00202639">
            <w:pPr>
              <w:jc w:val="right"/>
              <w:rPr>
                <w:rFonts w:ascii="Aptos Narrow" w:hAnsi="Aptos Narrow"/>
                <w:color w:val="000000"/>
              </w:rPr>
            </w:pPr>
            <w:r>
              <w:rPr>
                <w:rFonts w:ascii="Aptos Narrow" w:hAnsi="Aptos Narrow"/>
                <w:color w:val="000000"/>
              </w:rPr>
              <w:t>0.02672341</w:t>
            </w:r>
          </w:p>
        </w:tc>
        <w:tc>
          <w:tcPr>
            <w:tcW w:w="1300" w:type="dxa"/>
            <w:tcBorders>
              <w:top w:val="nil"/>
              <w:left w:val="nil"/>
              <w:bottom w:val="nil"/>
              <w:right w:val="nil"/>
            </w:tcBorders>
            <w:shd w:val="clear" w:color="auto" w:fill="auto"/>
            <w:noWrap/>
            <w:vAlign w:val="bottom"/>
            <w:hideMark/>
          </w:tcPr>
          <w:p w14:paraId="100CF283" w14:textId="77777777" w:rsidR="00202639" w:rsidRDefault="00202639">
            <w:pPr>
              <w:jc w:val="right"/>
              <w:rPr>
                <w:rFonts w:ascii="Aptos Narrow" w:hAnsi="Aptos Narrow"/>
                <w:color w:val="000000"/>
              </w:rPr>
            </w:pPr>
            <w:r>
              <w:rPr>
                <w:rFonts w:ascii="Aptos Narrow" w:hAnsi="Aptos Narrow"/>
                <w:color w:val="000000"/>
              </w:rPr>
              <w:t>0.18220027</w:t>
            </w:r>
          </w:p>
        </w:tc>
        <w:tc>
          <w:tcPr>
            <w:tcW w:w="1300" w:type="dxa"/>
            <w:tcBorders>
              <w:top w:val="nil"/>
              <w:left w:val="nil"/>
              <w:bottom w:val="nil"/>
              <w:right w:val="nil"/>
            </w:tcBorders>
            <w:shd w:val="clear" w:color="auto" w:fill="auto"/>
            <w:noWrap/>
            <w:vAlign w:val="bottom"/>
            <w:hideMark/>
          </w:tcPr>
          <w:p w14:paraId="5BC03B05" w14:textId="77777777" w:rsidR="00202639" w:rsidRDefault="00202639">
            <w:pPr>
              <w:jc w:val="right"/>
              <w:rPr>
                <w:rFonts w:ascii="Aptos Narrow" w:hAnsi="Aptos Narrow"/>
                <w:color w:val="000000"/>
              </w:rPr>
            </w:pPr>
            <w:r>
              <w:rPr>
                <w:rFonts w:ascii="Aptos Narrow" w:hAnsi="Aptos Narrow"/>
                <w:color w:val="000000"/>
              </w:rPr>
              <w:t>0.28695606</w:t>
            </w:r>
          </w:p>
        </w:tc>
        <w:tc>
          <w:tcPr>
            <w:tcW w:w="1300" w:type="dxa"/>
            <w:tcBorders>
              <w:top w:val="nil"/>
              <w:left w:val="nil"/>
              <w:bottom w:val="nil"/>
              <w:right w:val="nil"/>
            </w:tcBorders>
            <w:shd w:val="clear" w:color="auto" w:fill="auto"/>
            <w:noWrap/>
            <w:vAlign w:val="bottom"/>
            <w:hideMark/>
          </w:tcPr>
          <w:p w14:paraId="78A507D4" w14:textId="77777777" w:rsidR="00202639" w:rsidRDefault="00202639">
            <w:pPr>
              <w:rPr>
                <w:rFonts w:ascii="Aptos Narrow" w:hAnsi="Aptos Narrow"/>
                <w:color w:val="000000"/>
              </w:rPr>
            </w:pPr>
            <w:r>
              <w:rPr>
                <w:rFonts w:ascii="Aptos Narrow" w:hAnsi="Aptos Narrow"/>
                <w:color w:val="000000"/>
              </w:rPr>
              <w:t>Overall</w:t>
            </w:r>
          </w:p>
        </w:tc>
      </w:tr>
      <w:tr w:rsidR="00202639" w14:paraId="1F08195E" w14:textId="77777777" w:rsidTr="00202639">
        <w:trPr>
          <w:trHeight w:val="320"/>
        </w:trPr>
        <w:tc>
          <w:tcPr>
            <w:tcW w:w="1300" w:type="dxa"/>
            <w:tcBorders>
              <w:top w:val="nil"/>
              <w:left w:val="nil"/>
              <w:bottom w:val="nil"/>
              <w:right w:val="nil"/>
            </w:tcBorders>
            <w:shd w:val="clear" w:color="auto" w:fill="auto"/>
            <w:noWrap/>
            <w:vAlign w:val="bottom"/>
            <w:hideMark/>
          </w:tcPr>
          <w:p w14:paraId="671DD40E" w14:textId="77777777" w:rsidR="00202639" w:rsidRDefault="00202639">
            <w:pPr>
              <w:rPr>
                <w:rFonts w:ascii="Aptos Narrow" w:hAnsi="Aptos Narrow"/>
                <w:color w:val="000000"/>
              </w:rPr>
            </w:pPr>
            <w:r>
              <w:rPr>
                <w:rFonts w:ascii="Aptos Narrow" w:hAnsi="Aptos Narrow"/>
                <w:color w:val="000000"/>
              </w:rPr>
              <w:t>NH_WHITE.1</w:t>
            </w:r>
          </w:p>
        </w:tc>
        <w:tc>
          <w:tcPr>
            <w:tcW w:w="1300" w:type="dxa"/>
            <w:tcBorders>
              <w:top w:val="nil"/>
              <w:left w:val="nil"/>
              <w:bottom w:val="nil"/>
              <w:right w:val="nil"/>
            </w:tcBorders>
            <w:shd w:val="clear" w:color="auto" w:fill="auto"/>
            <w:noWrap/>
            <w:vAlign w:val="bottom"/>
            <w:hideMark/>
          </w:tcPr>
          <w:p w14:paraId="7E5D1498" w14:textId="77777777" w:rsidR="00202639" w:rsidRDefault="00202639">
            <w:pPr>
              <w:jc w:val="right"/>
              <w:rPr>
                <w:rFonts w:ascii="Aptos Narrow" w:hAnsi="Aptos Narrow"/>
                <w:color w:val="000000"/>
              </w:rPr>
            </w:pPr>
            <w:r>
              <w:rPr>
                <w:rFonts w:ascii="Aptos Narrow" w:hAnsi="Aptos Narrow"/>
                <w:color w:val="000000"/>
              </w:rPr>
              <w:t>0.25152185</w:t>
            </w:r>
          </w:p>
        </w:tc>
        <w:tc>
          <w:tcPr>
            <w:tcW w:w="1300" w:type="dxa"/>
            <w:tcBorders>
              <w:top w:val="nil"/>
              <w:left w:val="nil"/>
              <w:bottom w:val="nil"/>
              <w:right w:val="nil"/>
            </w:tcBorders>
            <w:shd w:val="clear" w:color="auto" w:fill="auto"/>
            <w:noWrap/>
            <w:vAlign w:val="bottom"/>
            <w:hideMark/>
          </w:tcPr>
          <w:p w14:paraId="53EC008E" w14:textId="77777777" w:rsidR="00202639" w:rsidRDefault="00202639">
            <w:pPr>
              <w:jc w:val="right"/>
              <w:rPr>
                <w:rFonts w:ascii="Aptos Narrow" w:hAnsi="Aptos Narrow"/>
                <w:color w:val="000000"/>
              </w:rPr>
            </w:pPr>
            <w:r>
              <w:rPr>
                <w:rFonts w:ascii="Aptos Narrow" w:hAnsi="Aptos Narrow"/>
                <w:color w:val="000000"/>
              </w:rPr>
              <w:t>0.04069622</w:t>
            </w:r>
          </w:p>
        </w:tc>
        <w:tc>
          <w:tcPr>
            <w:tcW w:w="1300" w:type="dxa"/>
            <w:tcBorders>
              <w:top w:val="nil"/>
              <w:left w:val="nil"/>
              <w:bottom w:val="nil"/>
              <w:right w:val="nil"/>
            </w:tcBorders>
            <w:shd w:val="clear" w:color="auto" w:fill="auto"/>
            <w:noWrap/>
            <w:vAlign w:val="bottom"/>
            <w:hideMark/>
          </w:tcPr>
          <w:p w14:paraId="1FDE32A9" w14:textId="77777777" w:rsidR="00202639" w:rsidRDefault="00202639">
            <w:pPr>
              <w:jc w:val="right"/>
              <w:rPr>
                <w:rFonts w:ascii="Aptos Narrow" w:hAnsi="Aptos Narrow"/>
                <w:color w:val="000000"/>
              </w:rPr>
            </w:pPr>
            <w:r>
              <w:rPr>
                <w:rFonts w:ascii="Aptos Narrow" w:hAnsi="Aptos Narrow"/>
                <w:color w:val="000000"/>
              </w:rPr>
              <w:t>0.17175726</w:t>
            </w:r>
          </w:p>
        </w:tc>
        <w:tc>
          <w:tcPr>
            <w:tcW w:w="1300" w:type="dxa"/>
            <w:tcBorders>
              <w:top w:val="nil"/>
              <w:left w:val="nil"/>
              <w:bottom w:val="nil"/>
              <w:right w:val="nil"/>
            </w:tcBorders>
            <w:shd w:val="clear" w:color="auto" w:fill="auto"/>
            <w:noWrap/>
            <w:vAlign w:val="bottom"/>
            <w:hideMark/>
          </w:tcPr>
          <w:p w14:paraId="2A4A4687" w14:textId="77777777" w:rsidR="00202639" w:rsidRDefault="00202639">
            <w:pPr>
              <w:jc w:val="right"/>
              <w:rPr>
                <w:rFonts w:ascii="Aptos Narrow" w:hAnsi="Aptos Narrow"/>
                <w:color w:val="000000"/>
              </w:rPr>
            </w:pPr>
            <w:r>
              <w:rPr>
                <w:rFonts w:ascii="Aptos Narrow" w:hAnsi="Aptos Narrow"/>
                <w:color w:val="000000"/>
              </w:rPr>
              <w:t>0.33128645</w:t>
            </w:r>
          </w:p>
        </w:tc>
        <w:tc>
          <w:tcPr>
            <w:tcW w:w="1300" w:type="dxa"/>
            <w:tcBorders>
              <w:top w:val="nil"/>
              <w:left w:val="nil"/>
              <w:bottom w:val="nil"/>
              <w:right w:val="nil"/>
            </w:tcBorders>
            <w:shd w:val="clear" w:color="auto" w:fill="auto"/>
            <w:noWrap/>
            <w:vAlign w:val="bottom"/>
            <w:hideMark/>
          </w:tcPr>
          <w:p w14:paraId="7E80674E" w14:textId="77777777" w:rsidR="00202639" w:rsidRDefault="00202639">
            <w:pPr>
              <w:rPr>
                <w:rFonts w:ascii="Aptos Narrow" w:hAnsi="Aptos Narrow"/>
                <w:color w:val="000000"/>
              </w:rPr>
            </w:pPr>
            <w:r>
              <w:rPr>
                <w:rFonts w:ascii="Aptos Narrow" w:hAnsi="Aptos Narrow"/>
                <w:color w:val="000000"/>
              </w:rPr>
              <w:t>CDM</w:t>
            </w:r>
          </w:p>
        </w:tc>
      </w:tr>
      <w:tr w:rsidR="00202639" w14:paraId="479FBF29" w14:textId="77777777" w:rsidTr="00202639">
        <w:trPr>
          <w:trHeight w:val="320"/>
        </w:trPr>
        <w:tc>
          <w:tcPr>
            <w:tcW w:w="1300" w:type="dxa"/>
            <w:tcBorders>
              <w:top w:val="nil"/>
              <w:left w:val="nil"/>
              <w:bottom w:val="nil"/>
              <w:right w:val="nil"/>
            </w:tcBorders>
            <w:shd w:val="clear" w:color="auto" w:fill="auto"/>
            <w:noWrap/>
            <w:vAlign w:val="bottom"/>
            <w:hideMark/>
          </w:tcPr>
          <w:p w14:paraId="14C1F28F" w14:textId="77777777" w:rsidR="00202639" w:rsidRDefault="00202639">
            <w:pPr>
              <w:rPr>
                <w:rFonts w:ascii="Aptos Narrow" w:hAnsi="Aptos Narrow"/>
                <w:color w:val="000000"/>
              </w:rPr>
            </w:pPr>
            <w:r>
              <w:rPr>
                <w:rFonts w:ascii="Aptos Narrow" w:hAnsi="Aptos Narrow"/>
                <w:color w:val="000000"/>
              </w:rPr>
              <w:t>HISPANIC.1</w:t>
            </w:r>
          </w:p>
        </w:tc>
        <w:tc>
          <w:tcPr>
            <w:tcW w:w="1300" w:type="dxa"/>
            <w:tcBorders>
              <w:top w:val="nil"/>
              <w:left w:val="nil"/>
              <w:bottom w:val="nil"/>
              <w:right w:val="nil"/>
            </w:tcBorders>
            <w:shd w:val="clear" w:color="auto" w:fill="auto"/>
            <w:noWrap/>
            <w:vAlign w:val="bottom"/>
            <w:hideMark/>
          </w:tcPr>
          <w:p w14:paraId="6F830F65" w14:textId="77777777" w:rsidR="00202639" w:rsidRDefault="00202639">
            <w:pPr>
              <w:jc w:val="right"/>
              <w:rPr>
                <w:rFonts w:ascii="Aptos Narrow" w:hAnsi="Aptos Narrow"/>
                <w:color w:val="000000"/>
              </w:rPr>
            </w:pPr>
            <w:r>
              <w:rPr>
                <w:rFonts w:ascii="Aptos Narrow" w:hAnsi="Aptos Narrow"/>
                <w:color w:val="000000"/>
              </w:rPr>
              <w:t>0.27943879</w:t>
            </w:r>
          </w:p>
        </w:tc>
        <w:tc>
          <w:tcPr>
            <w:tcW w:w="1300" w:type="dxa"/>
            <w:tcBorders>
              <w:top w:val="nil"/>
              <w:left w:val="nil"/>
              <w:bottom w:val="nil"/>
              <w:right w:val="nil"/>
            </w:tcBorders>
            <w:shd w:val="clear" w:color="auto" w:fill="auto"/>
            <w:noWrap/>
            <w:vAlign w:val="bottom"/>
            <w:hideMark/>
          </w:tcPr>
          <w:p w14:paraId="11F27F6B" w14:textId="77777777" w:rsidR="00202639" w:rsidRDefault="00202639">
            <w:pPr>
              <w:jc w:val="right"/>
              <w:rPr>
                <w:rFonts w:ascii="Aptos Narrow" w:hAnsi="Aptos Narrow"/>
                <w:color w:val="000000"/>
              </w:rPr>
            </w:pPr>
            <w:r>
              <w:rPr>
                <w:rFonts w:ascii="Aptos Narrow" w:hAnsi="Aptos Narrow"/>
                <w:color w:val="000000"/>
              </w:rPr>
              <w:t>0.04068061</w:t>
            </w:r>
          </w:p>
        </w:tc>
        <w:tc>
          <w:tcPr>
            <w:tcW w:w="1300" w:type="dxa"/>
            <w:tcBorders>
              <w:top w:val="nil"/>
              <w:left w:val="nil"/>
              <w:bottom w:val="nil"/>
              <w:right w:val="nil"/>
            </w:tcBorders>
            <w:shd w:val="clear" w:color="auto" w:fill="auto"/>
            <w:noWrap/>
            <w:vAlign w:val="bottom"/>
            <w:hideMark/>
          </w:tcPr>
          <w:p w14:paraId="1F0EEABD" w14:textId="77777777" w:rsidR="00202639" w:rsidRDefault="00202639">
            <w:pPr>
              <w:jc w:val="right"/>
              <w:rPr>
                <w:rFonts w:ascii="Aptos Narrow" w:hAnsi="Aptos Narrow"/>
                <w:color w:val="000000"/>
              </w:rPr>
            </w:pPr>
            <w:r>
              <w:rPr>
                <w:rFonts w:ascii="Aptos Narrow" w:hAnsi="Aptos Narrow"/>
                <w:color w:val="000000"/>
              </w:rPr>
              <w:t>0.1997048</w:t>
            </w:r>
          </w:p>
        </w:tc>
        <w:tc>
          <w:tcPr>
            <w:tcW w:w="1300" w:type="dxa"/>
            <w:tcBorders>
              <w:top w:val="nil"/>
              <w:left w:val="nil"/>
              <w:bottom w:val="nil"/>
              <w:right w:val="nil"/>
            </w:tcBorders>
            <w:shd w:val="clear" w:color="auto" w:fill="auto"/>
            <w:noWrap/>
            <w:vAlign w:val="bottom"/>
            <w:hideMark/>
          </w:tcPr>
          <w:p w14:paraId="1A501759" w14:textId="77777777" w:rsidR="00202639" w:rsidRDefault="00202639">
            <w:pPr>
              <w:jc w:val="right"/>
              <w:rPr>
                <w:rFonts w:ascii="Aptos Narrow" w:hAnsi="Aptos Narrow"/>
                <w:color w:val="000000"/>
              </w:rPr>
            </w:pPr>
            <w:r>
              <w:rPr>
                <w:rFonts w:ascii="Aptos Narrow" w:hAnsi="Aptos Narrow"/>
                <w:color w:val="000000"/>
              </w:rPr>
              <w:t>0.35917279</w:t>
            </w:r>
          </w:p>
        </w:tc>
        <w:tc>
          <w:tcPr>
            <w:tcW w:w="1300" w:type="dxa"/>
            <w:tcBorders>
              <w:top w:val="nil"/>
              <w:left w:val="nil"/>
              <w:bottom w:val="nil"/>
              <w:right w:val="nil"/>
            </w:tcBorders>
            <w:shd w:val="clear" w:color="auto" w:fill="auto"/>
            <w:noWrap/>
            <w:vAlign w:val="bottom"/>
            <w:hideMark/>
          </w:tcPr>
          <w:p w14:paraId="0D9C7E23" w14:textId="77777777" w:rsidR="00202639" w:rsidRDefault="00202639">
            <w:pPr>
              <w:rPr>
                <w:rFonts w:ascii="Aptos Narrow" w:hAnsi="Aptos Narrow"/>
                <w:color w:val="000000"/>
              </w:rPr>
            </w:pPr>
            <w:r>
              <w:rPr>
                <w:rFonts w:ascii="Aptos Narrow" w:hAnsi="Aptos Narrow"/>
                <w:color w:val="000000"/>
              </w:rPr>
              <w:t>CDM</w:t>
            </w:r>
          </w:p>
        </w:tc>
      </w:tr>
    </w:tbl>
    <w:p w14:paraId="0909657D" w14:textId="77777777" w:rsidR="000F19C8" w:rsidRDefault="000F19C8"/>
    <w:p w14:paraId="04E481DD" w14:textId="77777777" w:rsidR="000F19C8" w:rsidRDefault="000F19C8"/>
    <w:p w14:paraId="64ACD3E0" w14:textId="48872D5F" w:rsidR="004160AF" w:rsidRDefault="00381E12">
      <w:r>
        <w:t>Abstract</w:t>
      </w:r>
    </w:p>
    <w:p w14:paraId="666B8EEE" w14:textId="1BE86F4D" w:rsidR="00504392" w:rsidRDefault="00504392">
      <w:r>
        <w:t>…</w:t>
      </w:r>
    </w:p>
    <w:p w14:paraId="4D387025" w14:textId="7066596E" w:rsidR="00381E12" w:rsidRPr="006C368B" w:rsidRDefault="006C368B">
      <w:pPr>
        <w:rPr>
          <w:b/>
          <w:bCs/>
        </w:rPr>
      </w:pPr>
      <w:r w:rsidRPr="006C368B">
        <w:rPr>
          <w:b/>
          <w:bCs/>
        </w:rPr>
        <w:t>Method</w:t>
      </w:r>
      <w:r>
        <w:rPr>
          <w:b/>
          <w:bCs/>
        </w:rPr>
        <w:t xml:space="preserve">s: </w:t>
      </w:r>
      <w:r w:rsidRPr="00AF77D0">
        <w:t xml:space="preserve">We estimated </w:t>
      </w:r>
      <w:r>
        <w:t xml:space="preserve">IP-Weighted associations between Race/Ethnicity and any breastfeeding. Additionally, we used IP weighting to estimate the counterfactual disparity measure (CDM), which represents the magnitude of the racial/ethnic disparity that would remain if all women received prenatal care prior to 10 weeks’ gestation. The IP weighted disparity measures were adjusted for several variables, including smoking status, insurance status, maternity leave, and maternal age. </w:t>
      </w:r>
      <w:r w:rsidRPr="006C368B">
        <w:rPr>
          <w:b/>
          <w:bCs/>
        </w:rPr>
        <w:t>Results</w:t>
      </w:r>
      <w:r>
        <w:rPr>
          <w:b/>
          <w:bCs/>
        </w:rPr>
        <w:t xml:space="preserve">: </w:t>
      </w:r>
      <w:r w:rsidR="00202639">
        <w:t xml:space="preserve">Overall estimates suggests that 23% more non-Hispanic White women breastfeed, relative to non-Hispanic black women (95% CI: 0.19, 0.28). </w:t>
      </w:r>
      <w:r w:rsidR="00504392">
        <w:t>However, no change in the disparity will be observed in if all women had access to prenatal care at week 10 or less.</w:t>
      </w:r>
      <w:r>
        <w:rPr>
          <w:b/>
          <w:bCs/>
        </w:rPr>
        <w:t xml:space="preserve"> Conclusion: </w:t>
      </w:r>
      <w:r w:rsidR="00504392" w:rsidRPr="00504392">
        <w:t>Our findings suggest that intervening to provide equitable prenatal care access will not yield meaningful changes in the racial / ethnic disparity in breastfeeding</w:t>
      </w:r>
      <w:r>
        <w:rPr>
          <w:b/>
          <w:bCs/>
        </w:rPr>
        <w:t>.</w:t>
      </w:r>
    </w:p>
    <w:p w14:paraId="21AC4C2A" w14:textId="77777777" w:rsidR="006C368B" w:rsidRDefault="006C368B"/>
    <w:p w14:paraId="570CBB55" w14:textId="77777777" w:rsidR="006C368B" w:rsidRDefault="006C368B"/>
    <w:p w14:paraId="0E0B67C3" w14:textId="2BEF1816" w:rsidR="000F19C8" w:rsidRDefault="000F19C8">
      <w:r>
        <w:t xml:space="preserve">Overall estimate suggests that 23% more non-Hispanic White women breastfeed, relative to non-Hispanic black women. </w:t>
      </w:r>
    </w:p>
    <w:p w14:paraId="14FBA489" w14:textId="77777777" w:rsidR="000F19C8" w:rsidRDefault="000F19C8"/>
    <w:p w14:paraId="043062F1" w14:textId="3F08BC6D" w:rsidR="000F19C8" w:rsidRDefault="000F19C8">
      <w:r>
        <w:t>The risk difference in breastfeeding (any versus none) between non-Hispanic White women and non-Hispanic Black women was 0.23 (95% CI: 0.19, 0.28).</w:t>
      </w:r>
    </w:p>
    <w:p w14:paraId="20761C14" w14:textId="77777777" w:rsidR="000F19C8" w:rsidRDefault="000F19C8"/>
    <w:p w14:paraId="5937DF1B" w14:textId="1209B23D" w:rsidR="000F19C8" w:rsidRDefault="000F19C8">
      <w:r>
        <w:t xml:space="preserve">For every 100 women in the sample, 23 more non-Hispanic White women breastfed relative to non-Hispanic Black women. </w:t>
      </w:r>
    </w:p>
    <w:p w14:paraId="4FE85D2E" w14:textId="77777777" w:rsidR="000F19C8" w:rsidRDefault="000F19C8"/>
    <w:p w14:paraId="0CF7F9C2" w14:textId="77777777" w:rsidR="000F19C8" w:rsidRDefault="000F19C8"/>
    <w:p w14:paraId="06D5A791" w14:textId="77777777" w:rsidR="00381E12" w:rsidRDefault="00381E12"/>
    <w:sectPr w:rsidR="00381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E12"/>
    <w:rsid w:val="00034137"/>
    <w:rsid w:val="000665A2"/>
    <w:rsid w:val="00070624"/>
    <w:rsid w:val="000A0E1B"/>
    <w:rsid w:val="000A3E82"/>
    <w:rsid w:val="000C3A47"/>
    <w:rsid w:val="000F19C8"/>
    <w:rsid w:val="000F4FB0"/>
    <w:rsid w:val="0013577B"/>
    <w:rsid w:val="001504E2"/>
    <w:rsid w:val="001578CD"/>
    <w:rsid w:val="00167901"/>
    <w:rsid w:val="00171169"/>
    <w:rsid w:val="0017257C"/>
    <w:rsid w:val="00176615"/>
    <w:rsid w:val="001C3D1A"/>
    <w:rsid w:val="001C5BB1"/>
    <w:rsid w:val="00202639"/>
    <w:rsid w:val="00210B5C"/>
    <w:rsid w:val="002221AF"/>
    <w:rsid w:val="00231BF8"/>
    <w:rsid w:val="00260B7A"/>
    <w:rsid w:val="002A585D"/>
    <w:rsid w:val="002A66A4"/>
    <w:rsid w:val="002D0AA8"/>
    <w:rsid w:val="002D2D75"/>
    <w:rsid w:val="002D6923"/>
    <w:rsid w:val="00315EB7"/>
    <w:rsid w:val="00336A12"/>
    <w:rsid w:val="00342F1D"/>
    <w:rsid w:val="00351703"/>
    <w:rsid w:val="00371AB1"/>
    <w:rsid w:val="00381E12"/>
    <w:rsid w:val="00395226"/>
    <w:rsid w:val="003A5476"/>
    <w:rsid w:val="003A7EBA"/>
    <w:rsid w:val="003D3877"/>
    <w:rsid w:val="003E0CE5"/>
    <w:rsid w:val="003E5111"/>
    <w:rsid w:val="004160AF"/>
    <w:rsid w:val="00417D39"/>
    <w:rsid w:val="00422761"/>
    <w:rsid w:val="00444FCD"/>
    <w:rsid w:val="00471693"/>
    <w:rsid w:val="004B762C"/>
    <w:rsid w:val="004C03BC"/>
    <w:rsid w:val="004F3950"/>
    <w:rsid w:val="00504392"/>
    <w:rsid w:val="005128FD"/>
    <w:rsid w:val="00533DB6"/>
    <w:rsid w:val="0054008D"/>
    <w:rsid w:val="0055097B"/>
    <w:rsid w:val="005525EE"/>
    <w:rsid w:val="00557376"/>
    <w:rsid w:val="0059075C"/>
    <w:rsid w:val="005B20C3"/>
    <w:rsid w:val="005C761D"/>
    <w:rsid w:val="006238DF"/>
    <w:rsid w:val="006303A9"/>
    <w:rsid w:val="0063270B"/>
    <w:rsid w:val="0063709C"/>
    <w:rsid w:val="006432D0"/>
    <w:rsid w:val="006A4007"/>
    <w:rsid w:val="006A4E52"/>
    <w:rsid w:val="006A7F21"/>
    <w:rsid w:val="006B2968"/>
    <w:rsid w:val="006C368B"/>
    <w:rsid w:val="006C78A1"/>
    <w:rsid w:val="006D598E"/>
    <w:rsid w:val="006E4AA4"/>
    <w:rsid w:val="00704FE0"/>
    <w:rsid w:val="00733362"/>
    <w:rsid w:val="00765537"/>
    <w:rsid w:val="007852E6"/>
    <w:rsid w:val="00791BC7"/>
    <w:rsid w:val="007B2D93"/>
    <w:rsid w:val="007C4FFE"/>
    <w:rsid w:val="007C74BD"/>
    <w:rsid w:val="007F68D4"/>
    <w:rsid w:val="0081706C"/>
    <w:rsid w:val="00827829"/>
    <w:rsid w:val="00842DA6"/>
    <w:rsid w:val="0085684A"/>
    <w:rsid w:val="00872416"/>
    <w:rsid w:val="008815ED"/>
    <w:rsid w:val="008B2627"/>
    <w:rsid w:val="008D53D6"/>
    <w:rsid w:val="008E2066"/>
    <w:rsid w:val="008E403E"/>
    <w:rsid w:val="008E612A"/>
    <w:rsid w:val="008F3630"/>
    <w:rsid w:val="00913F84"/>
    <w:rsid w:val="0092167A"/>
    <w:rsid w:val="00927F83"/>
    <w:rsid w:val="009529BB"/>
    <w:rsid w:val="009556A8"/>
    <w:rsid w:val="00960745"/>
    <w:rsid w:val="009607D9"/>
    <w:rsid w:val="00970AD9"/>
    <w:rsid w:val="00991E90"/>
    <w:rsid w:val="009930CA"/>
    <w:rsid w:val="009B45AA"/>
    <w:rsid w:val="009F67D4"/>
    <w:rsid w:val="00A05809"/>
    <w:rsid w:val="00A43102"/>
    <w:rsid w:val="00A51464"/>
    <w:rsid w:val="00A759CC"/>
    <w:rsid w:val="00A94152"/>
    <w:rsid w:val="00AA174F"/>
    <w:rsid w:val="00AD1C07"/>
    <w:rsid w:val="00B0553E"/>
    <w:rsid w:val="00B06D52"/>
    <w:rsid w:val="00B17FFA"/>
    <w:rsid w:val="00B37623"/>
    <w:rsid w:val="00B86C1A"/>
    <w:rsid w:val="00BA4627"/>
    <w:rsid w:val="00BC67C6"/>
    <w:rsid w:val="00BD0006"/>
    <w:rsid w:val="00BE323F"/>
    <w:rsid w:val="00BE6A5C"/>
    <w:rsid w:val="00BE7719"/>
    <w:rsid w:val="00BF5C23"/>
    <w:rsid w:val="00BF6D75"/>
    <w:rsid w:val="00C24CD0"/>
    <w:rsid w:val="00C4625D"/>
    <w:rsid w:val="00C50838"/>
    <w:rsid w:val="00C67041"/>
    <w:rsid w:val="00C67A3F"/>
    <w:rsid w:val="00C71203"/>
    <w:rsid w:val="00C80022"/>
    <w:rsid w:val="00C842C6"/>
    <w:rsid w:val="00CC7AF6"/>
    <w:rsid w:val="00CE1A6E"/>
    <w:rsid w:val="00CE776D"/>
    <w:rsid w:val="00CF6BBD"/>
    <w:rsid w:val="00D05070"/>
    <w:rsid w:val="00D1339A"/>
    <w:rsid w:val="00D26584"/>
    <w:rsid w:val="00D50A23"/>
    <w:rsid w:val="00D55A1A"/>
    <w:rsid w:val="00DB022E"/>
    <w:rsid w:val="00DE48CB"/>
    <w:rsid w:val="00E5264D"/>
    <w:rsid w:val="00E61800"/>
    <w:rsid w:val="00E64628"/>
    <w:rsid w:val="00EA0FBA"/>
    <w:rsid w:val="00EB4389"/>
    <w:rsid w:val="00ED7B25"/>
    <w:rsid w:val="00EE1493"/>
    <w:rsid w:val="00EE53A1"/>
    <w:rsid w:val="00EF2FCA"/>
    <w:rsid w:val="00F234A7"/>
    <w:rsid w:val="00F2462B"/>
    <w:rsid w:val="00F66503"/>
    <w:rsid w:val="00F84FD8"/>
    <w:rsid w:val="00F87B4A"/>
    <w:rsid w:val="00FA3C34"/>
    <w:rsid w:val="00FA66A6"/>
    <w:rsid w:val="00FA74D6"/>
    <w:rsid w:val="00FC3985"/>
    <w:rsid w:val="00FC3B34"/>
    <w:rsid w:val="00FC4D49"/>
    <w:rsid w:val="00FE70BC"/>
    <w:rsid w:val="00FF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1A390"/>
  <w15:chartTrackingRefBased/>
  <w15:docId w15:val="{5DABE739-E1D7-EA4F-BF1E-B655ED16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63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81E1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81E1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1E12"/>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1E12"/>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81E12"/>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81E12"/>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81E12"/>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81E12"/>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81E12"/>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E12"/>
    <w:rPr>
      <w:rFonts w:eastAsiaTheme="majorEastAsia" w:cstheme="majorBidi"/>
      <w:color w:val="272727" w:themeColor="text1" w:themeTint="D8"/>
    </w:rPr>
  </w:style>
  <w:style w:type="paragraph" w:styleId="Title">
    <w:name w:val="Title"/>
    <w:basedOn w:val="Normal"/>
    <w:next w:val="Normal"/>
    <w:link w:val="TitleChar"/>
    <w:uiPriority w:val="10"/>
    <w:qFormat/>
    <w:rsid w:val="00381E1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1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E12"/>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1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E12"/>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81E12"/>
    <w:rPr>
      <w:i/>
      <w:iCs/>
      <w:color w:val="404040" w:themeColor="text1" w:themeTint="BF"/>
    </w:rPr>
  </w:style>
  <w:style w:type="paragraph" w:styleId="ListParagraph">
    <w:name w:val="List Paragraph"/>
    <w:basedOn w:val="Normal"/>
    <w:uiPriority w:val="34"/>
    <w:qFormat/>
    <w:rsid w:val="00381E12"/>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81E12"/>
    <w:rPr>
      <w:i/>
      <w:iCs/>
      <w:color w:val="0F4761" w:themeColor="accent1" w:themeShade="BF"/>
    </w:rPr>
  </w:style>
  <w:style w:type="paragraph" w:styleId="IntenseQuote">
    <w:name w:val="Intense Quote"/>
    <w:basedOn w:val="Normal"/>
    <w:next w:val="Normal"/>
    <w:link w:val="IntenseQuoteChar"/>
    <w:uiPriority w:val="30"/>
    <w:qFormat/>
    <w:rsid w:val="00381E1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81E12"/>
    <w:rPr>
      <w:i/>
      <w:iCs/>
      <w:color w:val="0F4761" w:themeColor="accent1" w:themeShade="BF"/>
    </w:rPr>
  </w:style>
  <w:style w:type="character" w:styleId="IntenseReference">
    <w:name w:val="Intense Reference"/>
    <w:basedOn w:val="DefaultParagraphFont"/>
    <w:uiPriority w:val="32"/>
    <w:qFormat/>
    <w:rsid w:val="00381E12"/>
    <w:rPr>
      <w:b/>
      <w:bCs/>
      <w:smallCaps/>
      <w:color w:val="0F4761" w:themeColor="accent1" w:themeShade="BF"/>
      <w:spacing w:val="5"/>
    </w:rPr>
  </w:style>
  <w:style w:type="character" w:styleId="CommentReference">
    <w:name w:val="annotation reference"/>
    <w:basedOn w:val="DefaultParagraphFont"/>
    <w:uiPriority w:val="99"/>
    <w:semiHidden/>
    <w:unhideWhenUsed/>
    <w:rsid w:val="006C368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206573">
      <w:bodyDiv w:val="1"/>
      <w:marLeft w:val="0"/>
      <w:marRight w:val="0"/>
      <w:marTop w:val="0"/>
      <w:marBottom w:val="0"/>
      <w:divBdr>
        <w:top w:val="none" w:sz="0" w:space="0" w:color="auto"/>
        <w:left w:val="none" w:sz="0" w:space="0" w:color="auto"/>
        <w:bottom w:val="none" w:sz="0" w:space="0" w:color="auto"/>
        <w:right w:val="none" w:sz="0" w:space="0" w:color="auto"/>
      </w:divBdr>
    </w:div>
    <w:div w:id="20488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Naimi, Ashley</dc:creator>
  <cp:keywords/>
  <dc:description/>
  <cp:lastModifiedBy>Naimi, Ashley</cp:lastModifiedBy>
  <cp:revision>2</cp:revision>
  <dcterms:created xsi:type="dcterms:W3CDTF">2024-10-31T00:49:00Z</dcterms:created>
  <dcterms:modified xsi:type="dcterms:W3CDTF">2024-10-31T00:49:00Z</dcterms:modified>
</cp:coreProperties>
</file>