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Weight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(how much should the features for this attribute count towards our total similarity score?)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Jaccard (word based)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Jaccard (Qgram-based)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TF/IDF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TF/IDF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TF/IDF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TF/IDF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Levenshtein edit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Levenshtein edit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Levenshtein edit distance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if this attribute and Segment are categorical, using exact match for them may be more useful. We can try it both ways!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 Match: 1 or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(if matches, or both products have a value but it does not match)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(if unavailable for one/both product)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 Match: 1 or 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want to verify that this one is actually useful.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Reference - these are the string similarity measures available in AnHai’s package: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Tokenizers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Delimiter-based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Qgram-based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Word-based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Similarity Measures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Levenshtein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Hamming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Jaro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Jaro Winkler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Needleman Wunsch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Smith Waterman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Affine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Jaccard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Overlap Coefficient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Cosine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Monge Elkan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TF/IDF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Soft TF/IDF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