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2363"/>
        <w:jc w:val="center"/>
        <w:rPr>
          <w:rFonts w:ascii="Arial" w:hAnsi="Arial" w:cs="Arial"/>
        </w:rPr>
      </w:pPr>
      <w:r>
        <w:rPr>
          <w:rFonts w:cs="Arial" w:ascii="Arial" w:hAnsi="Arial"/>
        </w:rPr>
      </w:r>
    </w:p>
    <w:p>
      <w:pPr>
        <w:pStyle w:val="Normal"/>
        <w:tabs>
          <w:tab w:val="left" w:pos="720" w:leader="none"/>
          <w:tab w:val="left" w:pos="1440" w:leader="none"/>
          <w:tab w:val="left" w:pos="2160" w:leader="none"/>
          <w:tab w:val="left" w:pos="2880" w:leader="none"/>
          <w:tab w:val="center" w:pos="3141" w:leader="none"/>
          <w:tab w:val="left" w:pos="3600" w:leader="none"/>
          <w:tab w:val="left" w:pos="4320" w:leader="none"/>
          <w:tab w:val="left" w:pos="4850" w:leader="none"/>
        </w:tabs>
        <w:ind w:end="2363"/>
        <w:jc w:val="center"/>
        <w:rPr>
          <w:rFonts w:ascii="Arial" w:hAnsi="Arial" w:cs="Arial"/>
        </w:rPr>
      </w:pPr>
      <w:commentRangeStart w:id="38"/>
      <w:r>
        <w:rPr>
          <w:rFonts w:cs="Arial" w:ascii="Arial" w:hAnsi="Arial"/>
        </w:rPr>
        <w:t>DATED THIS</w:t>
        <w:tab/>
        <w:tab/>
        <w:t>OF</w:t>
      </w:r>
      <w:commentRangeEnd w:id="38"/>
      <w:r>
        <w:rPr>
          <w:rStyle w:val="CommentReference"/>
        </w:rPr>
        <w:commentReference w:id="38"/>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pPr>
      <w:r>
        <w:rPr/>
        <w:t>BETWEEN</w:t>
      </w:r>
    </w:p>
    <w:p>
      <w:pPr>
        <w:pStyle w:val="Normal"/>
        <w:jc w:val="center"/>
        <w:rPr/>
      </w:pPr>
      <w:r>
        <w:rPr/>
      </w:r>
    </w:p>
    <w:p>
      <w:pPr>
        <w:pStyle w:val="Normal"/>
        <w:spacing w:before="240" w:after="0"/>
        <w:jc w:val="center"/>
        <w:rPr>
          <w:b/>
          <w:bCs/>
          <w:lang w:val="en-MY"/>
        </w:rPr>
      </w:pPr>
      <w:r>
        <w:rPr>
          <w:b/>
          <w:bCs/>
          <w:lang w:val="en-MY"/>
        </w:rPr>
        <w:t xml:space="preserve">SALMI NUR AIN BINTI MOHD HILMEY  </w:t>
      </w:r>
    </w:p>
    <w:p>
      <w:pPr>
        <w:pStyle w:val="Normal"/>
        <w:spacing w:before="240" w:after="0"/>
        <w:jc w:val="center"/>
        <w:rPr/>
      </w:pPr>
      <w:r>
        <w:rPr/>
        <w:t>[VENDOR(S)]</w:t>
      </w:r>
    </w:p>
    <w:p>
      <w:pPr>
        <w:pStyle w:val="Normal"/>
        <w:jc w:val="center"/>
        <w:rPr/>
      </w:pPr>
      <w:r>
        <w:rPr/>
      </w:r>
    </w:p>
    <w:p>
      <w:pPr>
        <w:pStyle w:val="Normal"/>
        <w:jc w:val="center"/>
        <w:rPr/>
      </w:pPr>
      <w:r>
        <w:rPr/>
        <w:t>AND</w:t>
      </w:r>
    </w:p>
    <w:p>
      <w:pPr>
        <w:pStyle w:val="Normal"/>
        <w:jc w:val="center"/>
        <w:rPr/>
      </w:pPr>
      <w:r>
        <w:rPr/>
      </w:r>
    </w:p>
    <w:p>
      <w:pPr>
        <w:pStyle w:val="Normal"/>
        <w:jc w:val="center"/>
        <w:rPr/>
      </w:pPr>
      <w:r>
        <w:rPr/>
      </w:r>
    </w:p>
    <w:p>
      <w:pPr>
        <w:pStyle w:val="Normal"/>
        <w:jc w:val="center"/>
        <w:rPr>
          <w:b/>
          <w:bCs/>
        </w:rPr>
      </w:pPr>
      <w:r>
        <w:rPr>
          <w:b/>
          <w:bCs/>
        </w:rPr>
        <w:t xml:space="preserve">THINESHVARAN A/L S BALASUBRAMANIAM </w:t>
      </w:r>
    </w:p>
    <w:p>
      <w:pPr>
        <w:pStyle w:val="Normal"/>
        <w:jc w:val="center"/>
        <w:rPr>
          <w:b/>
          <w:bCs/>
        </w:rPr>
      </w:pPr>
      <w:r>
        <w:rPr>
          <w:b/>
          <w:bCs/>
        </w:rPr>
      </w:r>
    </w:p>
    <w:p>
      <w:pPr>
        <w:pStyle w:val="Normal"/>
        <w:jc w:val="center"/>
        <w:rPr/>
      </w:pPr>
      <w:r>
        <w:rPr>
          <w:b/>
          <w:bCs/>
        </w:rPr>
        <w:t xml:space="preserve">GAUSSALYA A/P KANNAN  </w:t>
      </w:r>
    </w:p>
    <w:p>
      <w:pPr>
        <w:pStyle w:val="Normal"/>
        <w:spacing w:before="240" w:after="0"/>
        <w:jc w:val="center"/>
        <w:rPr/>
      </w:pPr>
      <w:r>
        <w:rPr/>
        <w:t>[PURCHASER[S)]</w:t>
      </w:r>
    </w:p>
    <w:p>
      <w:pPr>
        <w:pStyle w:val="Normal"/>
        <w:jc w:val="center"/>
        <w:rPr/>
      </w:pPr>
      <w:r>
        <w:rPr/>
      </w:r>
    </w:p>
    <w:p>
      <w:pPr>
        <w:pStyle w:val="Normal"/>
        <w:jc w:val="center"/>
        <w:rPr/>
      </w:pPr>
      <w:r>
        <w:rPr/>
      </w:r>
    </w:p>
    <w:p>
      <w:pPr>
        <w:pStyle w:val="Normal"/>
        <w:jc w:val="center"/>
        <w:rPr/>
      </w:pPr>
      <w:r>
        <w:rPr/>
      </w:r>
    </w:p>
    <w:p>
      <w:pPr>
        <w:pStyle w:val="Normal"/>
        <w:spacing w:lineRule="auto" w:line="360"/>
        <w:jc w:val="center"/>
        <w:rPr/>
      </w:pPr>
      <w:r>
        <w:rPr/>
        <w:t>***************************************************************</w:t>
      </w:r>
    </w:p>
    <w:p>
      <w:pPr>
        <w:pStyle w:val="Normal"/>
        <w:spacing w:lineRule="auto" w:line="360"/>
        <w:jc w:val="center"/>
        <w:rPr>
          <w:b/>
          <w:bCs/>
          <w:sz w:val="36"/>
          <w:szCs w:val="36"/>
        </w:rPr>
      </w:pPr>
      <w:r>
        <w:rPr>
          <w:b/>
          <w:bCs/>
          <w:sz w:val="36"/>
          <w:szCs w:val="36"/>
        </w:rPr>
        <w:t>SALE &amp; PURCHASE AGREEMENT</w:t>
      </w:r>
    </w:p>
    <w:p>
      <w:pPr>
        <w:pStyle w:val="Normal"/>
        <w:jc w:val="center"/>
        <w:rPr/>
      </w:pPr>
      <w:r>
        <w:rPr/>
        <w:t>***************************************************************</w:t>
      </w:r>
    </w:p>
    <w:p>
      <w:pPr>
        <w:pStyle w:val="Normal"/>
        <w:jc w:val="center"/>
        <w:rPr/>
      </w:pPr>
      <w:r>
        <w:rPr/>
      </w:r>
    </w:p>
    <w:p>
      <w:pPr>
        <w:pStyle w:val="Normal"/>
        <w:rPr/>
      </w:pPr>
      <w:r>
        <w:rPr/>
      </w:r>
    </w:p>
    <w:p>
      <w:pPr>
        <w:pStyle w:val="Normal"/>
        <w:tabs>
          <w:tab w:val="clear" w:pos="720"/>
          <w:tab w:val="left" w:pos="5245" w:leader="none"/>
        </w:tabs>
        <w:rPr>
          <w:rFonts w:ascii="Arial" w:hAnsi="Arial" w:eastAsia="Calibri" w:cs="Arial"/>
          <w:sz w:val="22"/>
          <w:szCs w:val="22"/>
        </w:rPr>
      </w:pPr>
      <w:r>
        <w:rPr>
          <w:rFonts w:eastAsia="Calibri" w:cs="Arial" w:ascii="Arial" w:hAnsi="Arial"/>
          <w:sz w:val="22"/>
          <w:szCs w:val="22"/>
        </w:rPr>
        <w:t>Vendor’s Solicitors :-</w:t>
        <w:tab/>
        <w:t>Purchaser’s Solicitors :-</w:t>
      </w:r>
    </w:p>
    <w:p>
      <w:pPr>
        <w:pStyle w:val="Normal"/>
        <w:tabs>
          <w:tab w:val="clear" w:pos="720"/>
          <w:tab w:val="left" w:pos="5245" w:leader="none"/>
        </w:tabs>
        <w:ind w:end="-713"/>
        <w:rPr/>
      </w:pPr>
      <w:r>
        <w:rPr>
          <w:rFonts w:eastAsia="Calibri" w:cs="Arial" w:ascii="Arial" w:hAnsi="Arial"/>
          <w:b/>
          <w:sz w:val="22"/>
          <w:szCs w:val="22"/>
        </w:rPr>
        <w:t>Messrs EUNICE TAN &amp; PARTNERS</w:t>
        <w:tab/>
        <w:t xml:space="preserve">Messrs ONG &amp; RAYMOND HOR </w:t>
      </w:r>
    </w:p>
    <w:p>
      <w:pPr>
        <w:pStyle w:val="Normal"/>
        <w:tabs>
          <w:tab w:val="clear" w:pos="720"/>
          <w:tab w:val="left" w:pos="5245" w:leader="none"/>
        </w:tabs>
        <w:rPr>
          <w:rFonts w:ascii="Arial" w:hAnsi="Arial" w:eastAsia="Calibri" w:cs="Arial"/>
          <w:b/>
          <w:sz w:val="22"/>
          <w:szCs w:val="22"/>
          <w:lang w:val="en-MY"/>
        </w:rPr>
      </w:pPr>
      <w:r>
        <w:rPr>
          <w:rFonts w:eastAsia="Calibri" w:cs="Arial" w:ascii="Arial" w:hAnsi="Arial"/>
          <w:b/>
          <w:sz w:val="22"/>
          <w:szCs w:val="22"/>
          <w:lang w:val="en-MY"/>
        </w:rPr>
        <w:t>Advocates &amp; Solicitors</w:t>
        <w:tab/>
        <w:t>Advocates &amp; Solicitors</w:t>
      </w:r>
    </w:p>
    <w:p>
      <w:pPr>
        <w:pStyle w:val="Normal"/>
        <w:tabs>
          <w:tab w:val="clear" w:pos="720"/>
          <w:tab w:val="left" w:pos="5245" w:leader="none"/>
        </w:tabs>
        <w:rPr/>
      </w:pPr>
      <w:r>
        <w:rPr>
          <w:rFonts w:eastAsia="Calibri" w:cs="Arial" w:ascii="Arial" w:hAnsi="Arial"/>
          <w:sz w:val="22"/>
          <w:szCs w:val="22"/>
          <w:lang w:val="en-MY" w:bidi="en-US"/>
        </w:rPr>
        <w:t xml:space="preserve">No.6-3, Block C, Platinum Walk,                            </w:t>
      </w:r>
      <w:bookmarkStart w:id="0" w:name="_Hlk190967106"/>
      <w:r>
        <w:rPr>
          <w:rFonts w:eastAsia="Calibri" w:cs="Arial" w:ascii="Arial" w:hAnsi="Arial"/>
          <w:sz w:val="22"/>
          <w:szCs w:val="22"/>
          <w:lang w:val="en-MY" w:bidi="en-US"/>
        </w:rPr>
        <w:tab/>
        <w:t>No.15, 1st Floor, Persiaran TBC</w:t>
      </w:r>
      <w:bookmarkEnd w:id="0"/>
      <w:r>
        <w:rPr>
          <w:rFonts w:eastAsia="Calibri" w:cs="Arial" w:ascii="Arial" w:hAnsi="Arial"/>
          <w:sz w:val="22"/>
          <w:szCs w:val="22"/>
          <w:lang w:val="en-MY" w:bidi="en-US"/>
        </w:rPr>
        <w:t>,</w:t>
      </w:r>
    </w:p>
    <w:p>
      <w:pPr>
        <w:pStyle w:val="Normal"/>
        <w:tabs>
          <w:tab w:val="clear" w:pos="720"/>
          <w:tab w:val="left" w:pos="5245" w:leader="none"/>
        </w:tabs>
        <w:rPr/>
      </w:pPr>
      <w:r>
        <w:rPr>
          <w:rFonts w:eastAsia="Calibri" w:cs="Arial" w:ascii="Arial" w:hAnsi="Arial"/>
          <w:sz w:val="22"/>
          <w:szCs w:val="22"/>
          <w:lang w:val="en-MY" w:bidi="en-US"/>
        </w:rPr>
        <w:t>No. 2 Jalan Langkawi, </w:t>
        <w:tab/>
      </w:r>
      <w:bookmarkStart w:id="1" w:name="_Hlk190967119"/>
      <w:r>
        <w:rPr>
          <w:rFonts w:eastAsia="Calibri" w:cs="Arial" w:ascii="Arial" w:hAnsi="Arial"/>
          <w:sz w:val="22"/>
          <w:szCs w:val="22"/>
          <w:lang w:val="en-MY" w:bidi="en-US"/>
        </w:rPr>
        <w:t>Taiping Business Centre</w:t>
      </w:r>
      <w:bookmarkEnd w:id="1"/>
      <w:r>
        <w:rPr>
          <w:rFonts w:eastAsia="Calibri" w:cs="Arial" w:ascii="Arial" w:hAnsi="Arial"/>
          <w:sz w:val="22"/>
          <w:szCs w:val="22"/>
          <w:lang w:val="en-MY" w:bidi="en-US"/>
        </w:rPr>
        <w:t>,</w:t>
      </w:r>
    </w:p>
    <w:p>
      <w:pPr>
        <w:pStyle w:val="Normal"/>
        <w:rPr/>
      </w:pPr>
      <w:r>
        <w:rPr>
          <w:rFonts w:eastAsia="Calibri" w:cs="Arial" w:ascii="Arial" w:hAnsi="Arial"/>
          <w:sz w:val="22"/>
          <w:szCs w:val="22"/>
          <w:lang w:val="pt-BR" w:bidi="en-US"/>
        </w:rPr>
        <w:t xml:space="preserve">53300 Setapak, Kuala Lumpur.                                     34000 Taiping,                                            </w:t>
      </w:r>
    </w:p>
    <w:p>
      <w:pPr>
        <w:pStyle w:val="Normal"/>
        <w:tabs>
          <w:tab w:val="clear" w:pos="720"/>
          <w:tab w:val="left" w:pos="0" w:leader="none"/>
        </w:tabs>
        <w:rPr/>
      </w:pPr>
      <w:r>
        <w:rPr>
          <w:rFonts w:eastAsia="Calibri" w:cs="Arial" w:ascii="Arial" w:hAnsi="Arial"/>
          <w:sz w:val="22"/>
          <w:szCs w:val="22"/>
          <w:lang w:val="pt-BR"/>
        </w:rPr>
        <w:t>Tel : 03-41418452</w:t>
      </w:r>
      <w:r>
        <w:rPr>
          <w:rFonts w:eastAsia="Calibri" w:cs="Arial" w:ascii="Arial" w:hAnsi="Arial"/>
          <w:sz w:val="22"/>
          <w:szCs w:val="22"/>
          <w:lang w:val="pt-BR" w:bidi="en-US"/>
        </w:rPr>
        <w:tab/>
        <w:t xml:space="preserve">                                                   Perak.</w:t>
      </w:r>
    </w:p>
    <w:p>
      <w:pPr>
        <w:pStyle w:val="Normal"/>
        <w:tabs>
          <w:tab w:val="clear" w:pos="720"/>
          <w:tab w:val="left" w:pos="5245" w:leader="none"/>
        </w:tabs>
        <w:rPr>
          <w:rFonts w:ascii="Arial" w:hAnsi="Arial" w:eastAsia="Calibri" w:cs="Arial"/>
          <w:sz w:val="22"/>
          <w:szCs w:val="22"/>
          <w:lang w:val="en-MY"/>
        </w:rPr>
      </w:pPr>
      <w:r>
        <w:rPr>
          <w:rFonts w:eastAsia="Calibri" w:cs="Arial" w:ascii="Arial" w:hAnsi="Arial"/>
          <w:sz w:val="22"/>
          <w:szCs w:val="22"/>
          <w:lang w:val="en-MY" w:bidi="en-US"/>
        </w:rPr>
        <w:t>Email :general@eunicetanpartners.com,</w:t>
        <w:tab/>
        <w:t>Tel  : 05-805 9693/014-680 3936</w:t>
      </w:r>
    </w:p>
    <w:p>
      <w:pPr>
        <w:pStyle w:val="Normal"/>
        <w:tabs>
          <w:tab w:val="clear" w:pos="720"/>
          <w:tab w:val="left" w:pos="5245" w:leader="none"/>
        </w:tabs>
        <w:rPr>
          <w:rFonts w:ascii="Arial" w:hAnsi="Arial" w:eastAsia="Calibri" w:cs="Arial"/>
          <w:sz w:val="22"/>
          <w:szCs w:val="22"/>
        </w:rPr>
      </w:pPr>
      <w:hyperlink r:id="rId2">
        <w:r>
          <w:rPr>
            <w:rStyle w:val="Hyperlink"/>
            <w:rFonts w:eastAsia="Calibri" w:cs="Arial" w:ascii="Arial" w:hAnsi="Arial"/>
            <w:sz w:val="22"/>
            <w:szCs w:val="22"/>
          </w:rPr>
          <w:t>tanshareenalee@gmail.com</w:t>
        </w:r>
      </w:hyperlink>
      <w:r>
        <w:rPr>
          <w:rFonts w:eastAsia="Calibri" w:cs="Arial" w:ascii="Arial" w:hAnsi="Arial"/>
          <w:sz w:val="22"/>
          <w:szCs w:val="22"/>
        </w:rPr>
        <w:tab/>
      </w:r>
      <w:r>
        <w:rPr>
          <w:rFonts w:eastAsia="Calibri" w:cs="Arial" w:ascii="Arial" w:hAnsi="Arial"/>
          <w:sz w:val="22"/>
          <w:szCs w:val="22"/>
          <w:lang w:bidi="en-US"/>
        </w:rPr>
        <w:t>Fax : 05-805 9630</w:t>
      </w:r>
    </w:p>
    <w:p>
      <w:pPr>
        <w:pStyle w:val="Normal"/>
        <w:tabs>
          <w:tab w:val="clear" w:pos="720"/>
          <w:tab w:val="left" w:pos="5245" w:leader="none"/>
        </w:tabs>
        <w:ind w:end="-379"/>
        <w:rPr>
          <w:rFonts w:ascii="Arial" w:hAnsi="Arial" w:eastAsia="Calibri" w:cs="Arial"/>
          <w:sz w:val="22"/>
          <w:szCs w:val="22"/>
        </w:rPr>
      </w:pPr>
      <w:r>
        <w:rPr>
          <w:rFonts w:eastAsia="Calibri" w:cs="Arial" w:ascii="Arial" w:hAnsi="Arial"/>
          <w:sz w:val="22"/>
          <w:szCs w:val="22"/>
          <w:lang w:bidi="en-US"/>
        </w:rPr>
        <w:t>Ref : ET/SPA(V)/SALMI/D-19-03 (The Domain 3)</w:t>
        <w:tab/>
        <w:t xml:space="preserve">Email : </w:t>
      </w:r>
      <w:hyperlink r:id="rId3">
        <w:r>
          <w:rPr>
            <w:rStyle w:val="Hyperlink"/>
            <w:rFonts w:eastAsia="Calibri" w:cs="Arial" w:ascii="Arial" w:hAnsi="Arial"/>
            <w:color w:val="004F9B"/>
            <w:sz w:val="22"/>
            <w:szCs w:val="22"/>
            <w:u w:val="single"/>
            <w:lang w:bidi="en-US"/>
          </w:rPr>
          <w:t>taipingoffice@ong-raymondhor.com</w:t>
        </w:r>
      </w:hyperlink>
    </w:p>
    <w:p>
      <w:pPr>
        <w:pStyle w:val="Normal"/>
        <w:tabs>
          <w:tab w:val="clear" w:pos="720"/>
          <w:tab w:val="left" w:pos="5245" w:leader="none"/>
        </w:tabs>
        <w:ind w:end="-521"/>
        <w:rPr/>
      </w:pPr>
      <w:r>
        <w:rPr>
          <w:rFonts w:eastAsia="Calibri" w:cs="Arial" w:ascii="Arial" w:hAnsi="Arial"/>
          <w:sz w:val="22"/>
          <w:szCs w:val="22"/>
        </w:rPr>
        <w:t>/1223/26</w:t>
        <w:tab/>
        <w:t xml:space="preserve">Ref : </w:t>
      </w:r>
      <w:bookmarkStart w:id="2" w:name="_Hlk233907190"/>
      <w:r>
        <w:rPr>
          <w:rFonts w:eastAsia="Calibri" w:cs="Arial" w:ascii="Arial" w:hAnsi="Arial"/>
          <w:sz w:val="22"/>
          <w:szCs w:val="22"/>
        </w:rPr>
        <w:t>T/CV/0772/26/SS-TSB/AM/SP</w:t>
      </w:r>
      <w:r>
        <w:rPr>
          <w:rFonts w:eastAsia="Calibri" w:cs="Arial" w:ascii="Arial" w:hAnsi="Arial"/>
          <w:color w:val="004F9B"/>
          <w:sz w:val="22"/>
          <w:szCs w:val="22"/>
          <w:lang w:bidi="en-US"/>
        </w:rPr>
        <w:t xml:space="preserve"> </w:t>
      </w:r>
      <w:r>
        <w:rPr>
          <w:rFonts w:eastAsia="Calibri" w:cs="Arial" w:ascii="Arial" w:hAnsi="Arial"/>
          <w:color w:val="975CCB"/>
          <w:sz w:val="22"/>
          <w:szCs w:val="22"/>
          <w:lang w:bidi="en-US"/>
        </w:rPr>
        <w:t xml:space="preserve"> </w:t>
      </w:r>
      <w:r>
        <w:rPr>
          <w:rFonts w:eastAsia="Calibri" w:cs="Arial" w:ascii="Arial" w:hAnsi="Arial"/>
          <w:sz w:val="22"/>
          <w:szCs w:val="22"/>
          <w:lang w:bidi="en-US"/>
        </w:rPr>
        <w:t xml:space="preserve">                                                                                 </w:t>
      </w:r>
      <w:r>
        <w:rPr>
          <w:rFonts w:eastAsia="Calibri" w:cs="Arial" w:ascii="Arial" w:hAnsi="Arial"/>
          <w:color w:val="FF0000"/>
          <w:sz w:val="22"/>
          <w:szCs w:val="22"/>
          <w:lang w:bidi="en-US"/>
        </w:rPr>
        <w:t xml:space="preserve"> </w:t>
      </w:r>
      <w:r>
        <w:rPr>
          <w:rFonts w:eastAsia="Calibri" w:cs="Arial" w:ascii="Arial" w:hAnsi="Arial"/>
          <w:sz w:val="22"/>
          <w:szCs w:val="22"/>
          <w:lang w:bidi="en-US"/>
        </w:rPr>
        <w:t xml:space="preserve">                                                                            </w:t>
      </w:r>
      <w:bookmarkEnd w:id="2"/>
    </w:p>
    <w:p>
      <w:pPr>
        <w:pStyle w:val="NoSpacing"/>
        <w:tabs>
          <w:tab w:val="clear" w:pos="720"/>
          <w:tab w:val="left" w:pos="5245" w:leader="none"/>
        </w:tabs>
        <w:rPr/>
      </w:pPr>
      <w:r>
        <w:rPr>
          <w:rFonts w:eastAsia="Times New Roman" w:cs="Arial" w:ascii="Arial" w:hAnsi="Arial"/>
          <w:sz w:val="24"/>
          <w:szCs w:val="24"/>
        </w:rPr>
        <w:tab/>
      </w:r>
      <w:r>
        <w:rPr>
          <w:rFonts w:cs="Arial" w:ascii="Arial" w:hAnsi="Arial"/>
          <w:lang w:bidi="en-US"/>
        </w:rPr>
        <w:t xml:space="preserve"> </w:t>
      </w:r>
    </w:p>
    <w:p>
      <w:pPr>
        <w:pStyle w:val="NoSpacing"/>
        <w:tabs>
          <w:tab w:val="clear" w:pos="720"/>
          <w:tab w:val="left" w:pos="5245" w:leader="none"/>
        </w:tabs>
        <w:ind w:end="-710"/>
        <w:rPr>
          <w:rFonts w:ascii="Arial" w:hAnsi="Arial" w:cs="Arial"/>
          <w:lang w:bidi="en-US"/>
        </w:rPr>
      </w:pPr>
      <w:r>
        <w:rPr>
          <w:rFonts w:cs="Arial" w:ascii="Arial" w:hAnsi="Arial"/>
        </w:rPr>
        <w:tab/>
        <w:t xml:space="preserve"> </w:t>
      </w:r>
    </w:p>
    <w:p>
      <w:pPr>
        <w:pStyle w:val="NoSpacing"/>
        <w:tabs>
          <w:tab w:val="clear" w:pos="720"/>
          <w:tab w:val="left" w:pos="5245" w:leader="none"/>
        </w:tabs>
        <w:rPr>
          <w:rFonts w:ascii="Candara" w:hAnsi="Candara" w:cs="Candara"/>
        </w:rPr>
      </w:pPr>
      <w:r>
        <w:rPr>
          <w:rFonts w:cs="Arial" w:ascii="Arial" w:hAnsi="Arial"/>
        </w:rPr>
        <w:tab/>
        <w:t xml:space="preserve">   </w:t>
      </w:r>
    </w:p>
    <w:p>
      <w:pPr>
        <w:pStyle w:val="NoSpacing"/>
        <w:tabs>
          <w:tab w:val="clear" w:pos="720"/>
          <w:tab w:val="left" w:pos="5245" w:leader="none"/>
        </w:tabs>
        <w:rPr>
          <w:rFonts w:ascii="Times New Roman" w:hAnsi="Times New Roman" w:cs="Times New Roman"/>
        </w:rPr>
      </w:pPr>
      <w:r>
        <w:rPr>
          <w:rFonts w:cs="Times New Roman" w:ascii="Times New Roman" w:hAnsi="Times New Roman"/>
        </w:rPr>
        <w:tab/>
      </w:r>
    </w:p>
    <w:p>
      <w:pPr>
        <w:pStyle w:val="NoSpacing"/>
        <w:tabs>
          <w:tab w:val="clear" w:pos="720"/>
          <w:tab w:val="left" w:pos="5245" w:leader="none"/>
        </w:tabs>
        <w:ind w:end="-805"/>
        <w:rPr>
          <w:rFonts w:ascii="Times New Roman" w:hAnsi="Times New Roman" w:cs="Times New Roman"/>
        </w:rPr>
      </w:pPr>
      <w:r>
        <w:rPr>
          <w:rFonts w:cs="Times New Roman" w:ascii="Times New Roman" w:hAnsi="Times New Roman"/>
        </w:rPr>
      </w:r>
    </w:p>
    <w:p>
      <w:pPr>
        <w:pStyle w:val="NoSpacing"/>
        <w:tabs>
          <w:tab w:val="clear" w:pos="720"/>
          <w:tab w:val="left" w:pos="5245" w:leader="none"/>
        </w:tabs>
        <w:rPr>
          <w:rFonts w:ascii="Arial" w:hAnsi="Arial" w:cs="Arial"/>
        </w:rPr>
      </w:pPr>
      <w:r>
        <w:rPr>
          <w:rFonts w:cs="Arial" w:ascii="Arial" w:hAnsi="Arial"/>
        </w:rPr>
      </w:r>
    </w:p>
    <w:p>
      <w:pPr>
        <w:pStyle w:val="NoSpacing"/>
        <w:tabs>
          <w:tab w:val="clear" w:pos="720"/>
          <w:tab w:val="left" w:pos="5245" w:leader="none"/>
        </w:tabs>
        <w:rPr>
          <w:rFonts w:ascii="Arial" w:hAnsi="Arial" w:cs="Arial"/>
        </w:rPr>
      </w:pPr>
      <w:r>
        <w:rPr>
          <w:rFonts w:cs="Arial" w:ascii="Arial" w:hAnsi="Arial"/>
        </w:rPr>
      </w:r>
    </w:p>
    <w:p>
      <w:pPr>
        <w:pStyle w:val="NoSpacing"/>
        <w:tabs>
          <w:tab w:val="clear" w:pos="720"/>
          <w:tab w:val="left" w:pos="5245" w:leader="none"/>
        </w:tabs>
        <w:rPr>
          <w:rFonts w:ascii="Candara" w:hAnsi="Candara" w:cs="Candara"/>
        </w:rPr>
      </w:pPr>
      <w:r>
        <w:rPr>
          <w:rFonts w:eastAsia="Arial" w:cs="Arial" w:ascii="Arial" w:hAnsi="Arial"/>
        </w:rPr>
        <w:t xml:space="preserve">   </w:t>
      </w:r>
    </w:p>
    <w:p>
      <w:pPr>
        <w:pStyle w:val="Normal"/>
        <w:rPr>
          <w:rFonts w:ascii="Arial" w:hAnsi="Arial" w:cs="Arial"/>
        </w:rPr>
      </w:pPr>
      <w:r>
        <w:rPr>
          <w:rFonts w:cs="Arial" w:ascii="Arial" w:hAnsi="Arial"/>
        </w:rPr>
      </w:r>
    </w:p>
    <w:tbl>
      <w:tblPr>
        <w:tblW w:w="9214" w:type="dxa"/>
        <w:jc w:val="start"/>
        <w:tblInd w:w="0" w:type="dxa"/>
        <w:tblLayout w:type="fixed"/>
        <w:tblCellMar>
          <w:top w:w="0" w:type="dxa"/>
          <w:start w:w="108" w:type="dxa"/>
          <w:bottom w:w="0" w:type="dxa"/>
          <w:end w:w="108" w:type="dxa"/>
        </w:tblCellMar>
      </w:tblPr>
      <w:tblGrid>
        <w:gridCol w:w="9214"/>
      </w:tblGrid>
      <w:tr>
        <w:trPr/>
        <w:tc>
          <w:tcPr>
            <w:tcW w:w="9214" w:type="dxa"/>
            <w:tcBorders/>
          </w:tcPr>
          <w:p>
            <w:pPr>
              <w:pStyle w:val="Normal"/>
              <w:snapToGrid w:val="false"/>
              <w:rPr>
                <w:rFonts w:ascii="Arial" w:hAnsi="Arial" w:cs="Arial"/>
              </w:rPr>
            </w:pPr>
            <w:r>
              <w:rPr>
                <w:rFonts w:cs="Arial" w:ascii="Arial" w:hAnsi="Arial"/>
              </w:rPr>
            </w:r>
          </w:p>
        </w:tc>
      </w:tr>
    </w:tbl>
    <w:p>
      <w:pPr>
        <w:pStyle w:val="Heading"/>
        <w:rPr>
          <w:rFonts w:ascii="Arial" w:hAnsi="Arial" w:cs="Arial"/>
        </w:rPr>
      </w:pPr>
      <w:r>
        <w:rPr>
          <w:rFonts w:cs="Arial" w:ascii="Arial" w:hAnsi="Arial"/>
        </w:rPr>
        <w:t>SALE AND PURCHASE AGREEMENT</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pPr>
      <w:r>
        <w:rPr>
          <w:rFonts w:cs="Arial" w:ascii="Arial" w:hAnsi="Arial"/>
        </w:rPr>
        <w:t>THIS AGREEMENT is made the day and year stated in Section I of the First Schedule hereto between the party whose name and description are stated in Section II of the First Schedule hereto (hereinafter referred to as “</w:t>
      </w:r>
      <w:r>
        <w:rPr>
          <w:rFonts w:cs="Arial" w:ascii="Arial" w:hAnsi="Arial"/>
          <w:b/>
          <w:bCs/>
        </w:rPr>
        <w:t>the Vendor</w:t>
      </w:r>
      <w:r>
        <w:rPr>
          <w:rFonts w:cs="Arial" w:ascii="Arial" w:hAnsi="Arial"/>
        </w:rPr>
        <w:t>” which expression where the context so admits shall include his heirs, personal representatives, successors-in-title and permitted assigns) of the one part And the party whose name and description are stated in Section III of the First Schedule hereto (hereinafter referred to as “</w:t>
      </w:r>
      <w:r>
        <w:rPr>
          <w:rFonts w:cs="Arial" w:ascii="Arial" w:hAnsi="Arial"/>
          <w:b/>
          <w:bCs/>
        </w:rPr>
        <w:t>the Purchaser</w:t>
      </w:r>
      <w:r>
        <w:rPr>
          <w:rFonts w:cs="Arial" w:ascii="Arial" w:hAnsi="Arial"/>
        </w:rPr>
        <w:t>” which expression where the context so admits shall include his heirs, personal representatives, successors-in-title and permitted assigns) of the other part.</w:t>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jc w:val="center"/>
        <w:rPr/>
      </w:pPr>
      <w:r>
        <w:rPr>
          <w:rFonts w:cs="Arial" w:ascii="Arial" w:hAnsi="Arial"/>
          <w:b/>
          <w:bCs/>
        </w:rPr>
        <w:t>RECITALS</w:t>
      </w:r>
    </w:p>
    <w:p>
      <w:pPr>
        <w:pStyle w:val="Normal"/>
        <w:jc w:val="both"/>
        <w:rPr>
          <w:rFonts w:ascii="Arial" w:hAnsi="Arial" w:cs="Arial"/>
          <w:b/>
          <w:bCs/>
        </w:rPr>
      </w:pPr>
      <w:r>
        <w:rPr>
          <w:rFonts w:cs="Arial" w:ascii="Arial" w:hAnsi="Arial"/>
          <w:b/>
          <w:bCs/>
        </w:rPr>
      </w:r>
    </w:p>
    <w:p>
      <w:pPr>
        <w:pStyle w:val="Normal"/>
        <w:jc w:val="both"/>
        <w:rPr>
          <w:rFonts w:ascii="Arial" w:hAnsi="Arial" w:cs="Arial"/>
        </w:rPr>
      </w:pPr>
      <w:r>
        <w:rPr>
          <w:rFonts w:cs="Arial" w:ascii="Arial" w:hAnsi="Arial"/>
          <w:b/>
          <w:bCs/>
        </w:rPr>
        <w:t>WHEREAS</w:t>
      </w:r>
    </w:p>
    <w:p>
      <w:pPr>
        <w:pStyle w:val="Normal"/>
        <w:tabs>
          <w:tab w:val="clear" w:pos="720"/>
          <w:tab w:val="center" w:pos="3667" w:leader="none"/>
        </w:tabs>
        <w:jc w:val="both"/>
        <w:rPr>
          <w:rFonts w:ascii="Arial" w:hAnsi="Arial" w:cs="Arial"/>
        </w:rPr>
      </w:pPr>
      <w:r>
        <w:rPr>
          <w:rFonts w:cs="Arial" w:ascii="Arial" w:hAnsi="Arial"/>
        </w:rPr>
      </w:r>
    </w:p>
    <w:p>
      <w:pPr>
        <w:pStyle w:val="Normal"/>
        <w:numPr>
          <w:ilvl w:val="1"/>
          <w:numId w:val="3"/>
        </w:numPr>
        <w:tabs>
          <w:tab w:val="clear" w:pos="720"/>
          <w:tab w:val="left" w:pos="567" w:leader="none"/>
          <w:tab w:val="center" w:pos="3667" w:leader="none"/>
        </w:tabs>
        <w:ind w:hanging="567" w:start="567" w:end="0"/>
        <w:jc w:val="both"/>
        <w:rPr>
          <w:rFonts w:ascii="Arial" w:hAnsi="Arial" w:cs="Arial"/>
          <w:b/>
          <w:bCs/>
        </w:rPr>
      </w:pPr>
      <w:r>
        <w:rPr>
          <w:rFonts w:cs="Arial" w:ascii="Arial" w:hAnsi="Arial"/>
        </w:rPr>
        <w:t>By</w:t>
      </w:r>
      <w:r>
        <w:rPr>
          <w:rFonts w:eastAsia="Arial" w:cs="Arial" w:ascii="Arial" w:hAnsi="Arial"/>
        </w:rPr>
        <w:t xml:space="preserve"> </w:t>
      </w:r>
      <w:r>
        <w:rPr>
          <w:rFonts w:cs="Arial" w:ascii="Arial" w:hAnsi="Arial"/>
        </w:rPr>
        <w:t>a</w:t>
      </w:r>
      <w:r>
        <w:rPr>
          <w:rFonts w:eastAsia="Arial" w:cs="Arial" w:ascii="Arial" w:hAnsi="Arial"/>
        </w:rPr>
        <w:t xml:space="preserve"> </w:t>
      </w:r>
      <w:r>
        <w:rPr>
          <w:rFonts w:cs="Arial" w:ascii="Arial" w:hAnsi="Arial"/>
        </w:rPr>
        <w:t>Sale</w:t>
      </w:r>
      <w:r>
        <w:rPr>
          <w:rFonts w:eastAsia="Arial" w:cs="Arial" w:ascii="Arial" w:hAnsi="Arial"/>
        </w:rPr>
        <w:t xml:space="preserve"> </w:t>
      </w:r>
      <w:r>
        <w:rPr>
          <w:rFonts w:cs="Arial" w:ascii="Arial" w:hAnsi="Arial"/>
        </w:rPr>
        <w:t>and</w:t>
      </w:r>
      <w:r>
        <w:rPr>
          <w:rFonts w:eastAsia="Arial" w:cs="Arial" w:ascii="Arial" w:hAnsi="Arial"/>
        </w:rPr>
        <w:t xml:space="preserve"> </w:t>
      </w:r>
      <w:r>
        <w:rPr>
          <w:rFonts w:cs="Arial" w:ascii="Arial" w:hAnsi="Arial"/>
        </w:rPr>
        <w:t>Purchase</w:t>
      </w:r>
      <w:r>
        <w:rPr>
          <w:rFonts w:eastAsia="Arial" w:cs="Arial" w:ascii="Arial" w:hAnsi="Arial"/>
        </w:rPr>
        <w:t xml:space="preserve"> </w:t>
      </w:r>
      <w:r>
        <w:rPr>
          <w:rFonts w:cs="Arial" w:ascii="Arial" w:hAnsi="Arial"/>
        </w:rPr>
        <w:t>Agreement</w:t>
      </w:r>
      <w:r>
        <w:rPr>
          <w:rFonts w:eastAsia="Arial" w:cs="Arial" w:ascii="Arial" w:hAnsi="Arial"/>
        </w:rPr>
        <w:t xml:space="preserve"> </w:t>
      </w:r>
      <w:r>
        <w:rPr>
          <w:rFonts w:cs="Arial" w:ascii="Arial" w:hAnsi="Arial"/>
        </w:rPr>
        <w:t>dated</w:t>
      </w:r>
      <w:r>
        <w:rPr>
          <w:rFonts w:eastAsia="Arial" w:cs="Arial" w:ascii="Arial" w:hAnsi="Arial"/>
        </w:rPr>
        <w:t xml:space="preserve"> 15</w:t>
      </w:r>
      <w:r>
        <w:rPr>
          <w:rFonts w:eastAsia="Arial" w:cs="Arial" w:ascii="Arial" w:hAnsi="Arial"/>
          <w:vertAlign w:val="superscript"/>
        </w:rPr>
        <w:t>th</w:t>
      </w:r>
      <w:r>
        <w:rPr>
          <w:rFonts w:eastAsia="Arial" w:cs="Arial" w:ascii="Arial" w:hAnsi="Arial"/>
        </w:rPr>
        <w:t xml:space="preserve"> April, 2013 (</w:t>
      </w:r>
      <w:r>
        <w:rPr>
          <w:rFonts w:cs="Arial" w:ascii="Arial" w:hAnsi="Arial"/>
        </w:rPr>
        <w:t>hereinafter</w:t>
      </w:r>
      <w:r>
        <w:rPr>
          <w:rFonts w:eastAsia="Arial" w:cs="Arial" w:ascii="Arial" w:hAnsi="Arial"/>
        </w:rPr>
        <w:t xml:space="preserve"> </w:t>
      </w:r>
      <w:r>
        <w:rPr>
          <w:rFonts w:cs="Arial" w:ascii="Arial" w:hAnsi="Arial"/>
        </w:rPr>
        <w:t>referred</w:t>
      </w:r>
      <w:r>
        <w:rPr>
          <w:rFonts w:eastAsia="Arial" w:cs="Arial" w:ascii="Arial" w:hAnsi="Arial"/>
        </w:rPr>
        <w:t xml:space="preserve"> </w:t>
      </w:r>
      <w:r>
        <w:rPr>
          <w:rFonts w:cs="Arial" w:ascii="Arial" w:hAnsi="Arial"/>
        </w:rPr>
        <w:t>to</w:t>
      </w:r>
      <w:r>
        <w:rPr>
          <w:rFonts w:eastAsia="Arial" w:cs="Arial" w:ascii="Arial" w:hAnsi="Arial"/>
        </w:rPr>
        <w:t xml:space="preserve"> </w:t>
      </w:r>
      <w:r>
        <w:rPr>
          <w:rFonts w:cs="Arial" w:ascii="Arial" w:hAnsi="Arial"/>
        </w:rPr>
        <w:t>as</w:t>
      </w:r>
      <w:r>
        <w:rPr>
          <w:rFonts w:eastAsia="Arial" w:cs="Arial" w:ascii="Arial" w:hAnsi="Arial"/>
        </w:rPr>
        <w:t xml:space="preserve"> “</w:t>
      </w:r>
      <w:r>
        <w:rPr>
          <w:rFonts w:cs="Arial" w:ascii="Arial" w:hAnsi="Arial"/>
          <w:b/>
          <w:bCs/>
        </w:rPr>
        <w:t>the</w:t>
      </w:r>
      <w:r>
        <w:rPr>
          <w:rFonts w:eastAsia="Arial" w:cs="Arial" w:ascii="Arial" w:hAnsi="Arial"/>
          <w:b/>
          <w:bCs/>
        </w:rPr>
        <w:t xml:space="preserve"> </w:t>
      </w:r>
      <w:r>
        <w:rPr>
          <w:rFonts w:cs="Arial" w:ascii="Arial" w:hAnsi="Arial"/>
          <w:b/>
          <w:bCs/>
        </w:rPr>
        <w:t>Principal</w:t>
      </w:r>
      <w:r>
        <w:rPr>
          <w:rFonts w:eastAsia="Arial" w:cs="Arial" w:ascii="Arial" w:hAnsi="Arial"/>
          <w:b/>
          <w:bCs/>
        </w:rPr>
        <w:t xml:space="preserve"> </w:t>
      </w:r>
      <w:r>
        <w:rPr>
          <w:rFonts w:cs="Arial" w:ascii="Arial" w:hAnsi="Arial"/>
          <w:b/>
          <w:bCs/>
        </w:rPr>
        <w:t>Sale</w:t>
      </w:r>
      <w:r>
        <w:rPr>
          <w:rFonts w:eastAsia="Arial" w:cs="Arial" w:ascii="Arial" w:hAnsi="Arial"/>
          <w:b/>
          <w:bCs/>
        </w:rPr>
        <w:t xml:space="preserve"> </w:t>
      </w:r>
      <w:r>
        <w:rPr>
          <w:rFonts w:cs="Arial" w:ascii="Arial" w:hAnsi="Arial"/>
          <w:b/>
          <w:bCs/>
        </w:rPr>
        <w:t>Agreement</w:t>
      </w:r>
      <w:r>
        <w:rPr>
          <w:rFonts w:eastAsia="Arial" w:cs="Arial" w:ascii="Arial" w:hAnsi="Arial"/>
        </w:rPr>
        <w:t xml:space="preserve">”) </w:t>
      </w:r>
      <w:r>
        <w:rPr>
          <w:rFonts w:cs="Arial" w:ascii="Arial" w:hAnsi="Arial"/>
        </w:rPr>
        <w:t>made</w:t>
      </w:r>
      <w:r>
        <w:rPr>
          <w:rFonts w:eastAsia="Arial" w:cs="Arial" w:ascii="Arial" w:hAnsi="Arial"/>
        </w:rPr>
        <w:t xml:space="preserve"> </w:t>
      </w:r>
      <w:r>
        <w:rPr>
          <w:rFonts w:cs="Arial" w:ascii="Arial" w:hAnsi="Arial"/>
        </w:rPr>
        <w:t>between</w:t>
      </w:r>
      <w:r>
        <w:rPr>
          <w:rFonts w:eastAsia="Arial" w:cs="Arial" w:ascii="Arial" w:hAnsi="Arial"/>
        </w:rPr>
        <w:t xml:space="preserve"> </w:t>
      </w:r>
      <w:r>
        <w:rPr>
          <w:rFonts w:cs="Arial" w:ascii="Arial" w:hAnsi="Arial"/>
          <w:b/>
          <w:bCs/>
        </w:rPr>
        <w:t>LAKE TOWN SDN BHD (Company No.: 159338-A)</w:t>
      </w:r>
      <w:r>
        <w:rPr>
          <w:rFonts w:eastAsia="Arial" w:cs="Arial" w:ascii="Arial" w:hAnsi="Arial"/>
          <w:b/>
          <w:bCs/>
        </w:rPr>
        <w:t xml:space="preserve"> </w:t>
      </w:r>
      <w:r>
        <w:rPr>
          <w:rFonts w:cs="Arial" w:ascii="Arial" w:hAnsi="Arial"/>
          <w:bCs/>
        </w:rPr>
        <w:t>a</w:t>
      </w:r>
      <w:r>
        <w:rPr>
          <w:rFonts w:eastAsia="Arial" w:cs="Arial" w:ascii="Arial" w:hAnsi="Arial"/>
          <w:bCs/>
        </w:rPr>
        <w:t xml:space="preserve"> </w:t>
      </w:r>
      <w:r>
        <w:rPr>
          <w:rFonts w:cs="Arial" w:ascii="Arial" w:hAnsi="Arial"/>
          <w:bCs/>
        </w:rPr>
        <w:t xml:space="preserve">company incorporated in Malaysia and </w:t>
      </w:r>
      <w:r>
        <w:rPr>
          <w:rFonts w:eastAsia="Arial" w:cs="Arial" w:ascii="Arial" w:hAnsi="Arial"/>
        </w:rPr>
        <w:t xml:space="preserve">duly licensed under the Housing Development (Control and Licensing) Act 1966 (License No. 11012-2/2015/545)  </w:t>
      </w:r>
      <w:r>
        <w:rPr>
          <w:rFonts w:cs="Arial" w:ascii="Arial" w:hAnsi="Arial"/>
        </w:rPr>
        <w:t>with</w:t>
      </w:r>
      <w:r>
        <w:rPr>
          <w:rFonts w:eastAsia="Arial" w:cs="Arial" w:ascii="Arial" w:hAnsi="Arial"/>
        </w:rPr>
        <w:t xml:space="preserve"> </w:t>
      </w:r>
      <w:r>
        <w:rPr>
          <w:rFonts w:cs="Arial" w:ascii="Arial" w:hAnsi="Arial"/>
        </w:rPr>
        <w:t>its</w:t>
      </w:r>
      <w:r>
        <w:rPr>
          <w:rFonts w:eastAsia="Arial" w:cs="Arial" w:ascii="Arial" w:hAnsi="Arial"/>
        </w:rPr>
        <w:t xml:space="preserve"> </w:t>
      </w:r>
      <w:r>
        <w:rPr>
          <w:rFonts w:cs="Arial" w:ascii="Arial" w:hAnsi="Arial"/>
        </w:rPr>
        <w:t xml:space="preserve">registration address at Level 18, Block A, Menara Mustapha Kamal, PJ Trade Centre, No.8, Jalan PJU 8/8A, Bandar Damansara Perdana, 47820 Petaling Jaya, Selangor </w:t>
      </w:r>
      <w:r>
        <w:rPr>
          <w:rFonts w:eastAsia="Arial" w:cs="Arial" w:ascii="Arial" w:hAnsi="Arial"/>
        </w:rPr>
        <w:t>(</w:t>
      </w:r>
      <w:r>
        <w:rPr>
          <w:rFonts w:cs="Arial" w:ascii="Arial" w:hAnsi="Arial"/>
        </w:rPr>
        <w:t>hereinafter</w:t>
      </w:r>
      <w:r>
        <w:rPr>
          <w:rFonts w:eastAsia="Arial" w:cs="Arial" w:ascii="Arial" w:hAnsi="Arial"/>
        </w:rPr>
        <w:t xml:space="preserve"> </w:t>
      </w:r>
      <w:r>
        <w:rPr>
          <w:rFonts w:cs="Arial" w:ascii="Arial" w:hAnsi="Arial"/>
        </w:rPr>
        <w:t>referred</w:t>
      </w:r>
      <w:r>
        <w:rPr>
          <w:rFonts w:eastAsia="Arial" w:cs="Arial" w:ascii="Arial" w:hAnsi="Arial"/>
        </w:rPr>
        <w:t xml:space="preserve"> </w:t>
      </w:r>
      <w:r>
        <w:rPr>
          <w:rFonts w:cs="Arial" w:ascii="Arial" w:hAnsi="Arial"/>
        </w:rPr>
        <w:t>to</w:t>
      </w:r>
      <w:r>
        <w:rPr>
          <w:rFonts w:eastAsia="Arial" w:cs="Arial" w:ascii="Arial" w:hAnsi="Arial"/>
        </w:rPr>
        <w:t xml:space="preserve"> </w:t>
      </w:r>
      <w:r>
        <w:rPr>
          <w:rFonts w:cs="Arial" w:ascii="Arial" w:hAnsi="Arial"/>
        </w:rPr>
        <w:t>as</w:t>
      </w:r>
      <w:r>
        <w:rPr>
          <w:rFonts w:eastAsia="Arial" w:cs="Arial" w:ascii="Arial" w:hAnsi="Arial"/>
        </w:rPr>
        <w:t xml:space="preserve"> “</w:t>
      </w:r>
      <w:r>
        <w:rPr>
          <w:rFonts w:cs="Arial" w:ascii="Arial" w:hAnsi="Arial"/>
          <w:b/>
          <w:bCs/>
        </w:rPr>
        <w:t>the</w:t>
      </w:r>
      <w:r>
        <w:rPr>
          <w:rFonts w:eastAsia="Arial" w:cs="Arial" w:ascii="Arial" w:hAnsi="Arial"/>
          <w:b/>
          <w:bCs/>
        </w:rPr>
        <w:t xml:space="preserve"> </w:t>
      </w:r>
      <w:r>
        <w:rPr>
          <w:rFonts w:cs="Arial" w:ascii="Arial" w:hAnsi="Arial"/>
          <w:b/>
          <w:bCs/>
        </w:rPr>
        <w:t>Developer</w:t>
      </w:r>
      <w:r>
        <w:rPr>
          <w:rFonts w:eastAsia="Arial" w:cs="Arial" w:ascii="Arial" w:hAnsi="Arial"/>
        </w:rPr>
        <w:t xml:space="preserve">”) of the first part </w:t>
      </w:r>
      <w:r>
        <w:rPr>
          <w:rFonts w:cs="Arial" w:ascii="Arial" w:hAnsi="Arial"/>
        </w:rPr>
        <w:t>,</w:t>
      </w:r>
      <w:r>
        <w:rPr>
          <w:rFonts w:eastAsia="Arial" w:cs="Arial" w:ascii="Arial" w:hAnsi="Arial"/>
        </w:rPr>
        <w:t xml:space="preserve"> the Vendor </w:t>
      </w:r>
      <w:r>
        <w:rPr>
          <w:rFonts w:cs="Arial" w:ascii="Arial" w:hAnsi="Arial"/>
        </w:rPr>
        <w:t xml:space="preserve">of the second part, and VIRTUAL PATH SDN BHD (Company No.: 408496-M) </w:t>
      </w:r>
      <w:r>
        <w:rPr>
          <w:rFonts w:cs="Arial" w:ascii="Arial" w:hAnsi="Arial"/>
          <w:bCs/>
        </w:rPr>
        <w:t>a</w:t>
      </w:r>
      <w:r>
        <w:rPr>
          <w:rFonts w:eastAsia="Arial" w:cs="Arial" w:ascii="Arial" w:hAnsi="Arial"/>
          <w:bCs/>
        </w:rPr>
        <w:t xml:space="preserve"> </w:t>
      </w:r>
      <w:r>
        <w:rPr>
          <w:rFonts w:cs="Arial" w:ascii="Arial" w:hAnsi="Arial"/>
          <w:bCs/>
        </w:rPr>
        <w:t xml:space="preserve">company incorporated in Malaysia </w:t>
      </w:r>
      <w:r>
        <w:rPr>
          <w:rFonts w:cs="Arial" w:ascii="Arial" w:hAnsi="Arial"/>
        </w:rPr>
        <w:t>with</w:t>
      </w:r>
      <w:r>
        <w:rPr>
          <w:rFonts w:eastAsia="Arial" w:cs="Arial" w:ascii="Arial" w:hAnsi="Arial"/>
        </w:rPr>
        <w:t xml:space="preserve"> </w:t>
      </w:r>
      <w:r>
        <w:rPr>
          <w:rFonts w:cs="Arial" w:ascii="Arial" w:hAnsi="Arial"/>
        </w:rPr>
        <w:t>its</w:t>
      </w:r>
      <w:r>
        <w:rPr>
          <w:rFonts w:eastAsia="Arial" w:cs="Arial" w:ascii="Arial" w:hAnsi="Arial"/>
        </w:rPr>
        <w:t xml:space="preserve"> </w:t>
      </w:r>
      <w:r>
        <w:rPr>
          <w:rFonts w:cs="Arial" w:ascii="Arial" w:hAnsi="Arial"/>
        </w:rPr>
        <w:t xml:space="preserve">registration address at Level 18, Block A, Menara Mustapha Kamal, PJ Trade Centre, No.8, Jalan PJU 8/8A, Bandar Damansara Perdana, 47820 Petaling Jaya, Selangor </w:t>
      </w:r>
      <w:r>
        <w:rPr>
          <w:rFonts w:eastAsia="Arial" w:cs="Arial" w:ascii="Arial" w:hAnsi="Arial"/>
        </w:rPr>
        <w:t>(</w:t>
      </w:r>
      <w:r>
        <w:rPr>
          <w:rFonts w:cs="Arial" w:ascii="Arial" w:hAnsi="Arial"/>
        </w:rPr>
        <w:t>hereinafter</w:t>
      </w:r>
      <w:r>
        <w:rPr>
          <w:rFonts w:eastAsia="Arial" w:cs="Arial" w:ascii="Arial" w:hAnsi="Arial"/>
        </w:rPr>
        <w:t xml:space="preserve"> </w:t>
      </w:r>
      <w:r>
        <w:rPr>
          <w:rFonts w:cs="Arial" w:ascii="Arial" w:hAnsi="Arial"/>
        </w:rPr>
        <w:t>referred</w:t>
      </w:r>
      <w:r>
        <w:rPr>
          <w:rFonts w:eastAsia="Arial" w:cs="Arial" w:ascii="Arial" w:hAnsi="Arial"/>
        </w:rPr>
        <w:t xml:space="preserve"> </w:t>
      </w:r>
      <w:r>
        <w:rPr>
          <w:rFonts w:cs="Arial" w:ascii="Arial" w:hAnsi="Arial"/>
        </w:rPr>
        <w:t>to</w:t>
      </w:r>
      <w:r>
        <w:rPr>
          <w:rFonts w:eastAsia="Arial" w:cs="Arial" w:ascii="Arial" w:hAnsi="Arial"/>
        </w:rPr>
        <w:t xml:space="preserve"> </w:t>
      </w:r>
      <w:r>
        <w:rPr>
          <w:rFonts w:cs="Arial" w:ascii="Arial" w:hAnsi="Arial"/>
        </w:rPr>
        <w:t>as</w:t>
      </w:r>
      <w:r>
        <w:rPr>
          <w:rFonts w:eastAsia="Arial" w:cs="Arial" w:ascii="Arial" w:hAnsi="Arial"/>
        </w:rPr>
        <w:t xml:space="preserve"> “</w:t>
      </w:r>
      <w:r>
        <w:rPr>
          <w:rFonts w:cs="Arial" w:ascii="Arial" w:hAnsi="Arial"/>
          <w:b/>
          <w:bCs/>
        </w:rPr>
        <w:t>the</w:t>
      </w:r>
      <w:r>
        <w:rPr>
          <w:rFonts w:eastAsia="Arial" w:cs="Arial" w:ascii="Arial" w:hAnsi="Arial"/>
          <w:b/>
          <w:bCs/>
        </w:rPr>
        <w:t xml:space="preserve"> </w:t>
      </w:r>
      <w:r>
        <w:rPr>
          <w:rFonts w:cs="Arial" w:ascii="Arial" w:hAnsi="Arial"/>
          <w:b/>
          <w:bCs/>
        </w:rPr>
        <w:t>Proprietor</w:t>
      </w:r>
      <w:r>
        <w:rPr>
          <w:rFonts w:eastAsia="Arial" w:cs="Arial" w:ascii="Arial" w:hAnsi="Arial"/>
        </w:rPr>
        <w:t xml:space="preserve">”) of the third part, </w:t>
      </w:r>
      <w:r>
        <w:rPr>
          <w:rFonts w:cs="Arial" w:ascii="Arial" w:hAnsi="Arial"/>
        </w:rPr>
        <w:t xml:space="preserve">the Developer with the Proprietor consent has agreed to sell </w:t>
      </w:r>
      <w:r>
        <w:rPr>
          <w:rFonts w:eastAsia="Arial" w:cs="Arial" w:ascii="Arial" w:hAnsi="Arial"/>
        </w:rPr>
        <w:t xml:space="preserve">and the </w:t>
      </w:r>
      <w:r>
        <w:rPr>
          <w:rFonts w:cs="Arial" w:ascii="Arial" w:hAnsi="Arial"/>
        </w:rPr>
        <w:t xml:space="preserve">Vendor </w:t>
      </w:r>
      <w:r>
        <w:rPr>
          <w:rFonts w:eastAsia="Arial" w:cs="Arial" w:ascii="Arial" w:hAnsi="Arial"/>
        </w:rPr>
        <w:t xml:space="preserve">has agreed to purchase all that piece of parcel with vacant possession distinguished as </w:t>
      </w:r>
      <w:r>
        <w:rPr>
          <w:rFonts w:cs="Arial" w:ascii="Arial" w:hAnsi="Arial"/>
        </w:rPr>
        <w:t xml:space="preserve">Parcel No. D-19-03, Level No.19, Building No. Block D with accessory parcel No. D-19-03a and (Car Park) No. 4-12 Level 4 of Building No. Block D </w:t>
      </w:r>
      <w:r>
        <w:rPr>
          <w:rFonts w:eastAsia="Arial" w:cs="Arial" w:ascii="Arial" w:hAnsi="Arial"/>
        </w:rPr>
        <w:t>(</w:t>
      </w:r>
      <w:r>
        <w:rPr>
          <w:rFonts w:cs="Arial" w:ascii="Arial" w:hAnsi="Arial"/>
        </w:rPr>
        <w:t>hereinafter</w:t>
      </w:r>
      <w:r>
        <w:rPr>
          <w:rFonts w:eastAsia="Arial" w:cs="Arial" w:ascii="Arial" w:hAnsi="Arial"/>
        </w:rPr>
        <w:t xml:space="preserve"> </w:t>
      </w:r>
      <w:r>
        <w:rPr>
          <w:rFonts w:cs="Arial" w:ascii="Arial" w:hAnsi="Arial"/>
        </w:rPr>
        <w:t>referred</w:t>
      </w:r>
      <w:r>
        <w:rPr>
          <w:rFonts w:eastAsia="Arial" w:cs="Arial" w:ascii="Arial" w:hAnsi="Arial"/>
        </w:rPr>
        <w:t xml:space="preserve"> </w:t>
      </w:r>
      <w:r>
        <w:rPr>
          <w:rFonts w:cs="Arial" w:ascii="Arial" w:hAnsi="Arial"/>
        </w:rPr>
        <w:t>to</w:t>
      </w:r>
      <w:r>
        <w:rPr>
          <w:rFonts w:eastAsia="Arial" w:cs="Arial" w:ascii="Arial" w:hAnsi="Arial"/>
        </w:rPr>
        <w:t xml:space="preserve"> </w:t>
      </w:r>
      <w:r>
        <w:rPr>
          <w:rFonts w:cs="Arial" w:ascii="Arial" w:hAnsi="Arial"/>
        </w:rPr>
        <w:t>as</w:t>
      </w:r>
      <w:r>
        <w:rPr>
          <w:rFonts w:eastAsia="Arial" w:cs="Arial" w:ascii="Arial" w:hAnsi="Arial"/>
        </w:rPr>
        <w:t xml:space="preserve"> “</w:t>
      </w:r>
      <w:r>
        <w:rPr>
          <w:rFonts w:cs="Arial" w:ascii="Arial" w:hAnsi="Arial"/>
          <w:b/>
          <w:bCs/>
        </w:rPr>
        <w:t>the</w:t>
      </w:r>
      <w:r>
        <w:rPr>
          <w:rFonts w:eastAsia="Arial" w:cs="Arial" w:ascii="Arial" w:hAnsi="Arial"/>
          <w:b/>
          <w:bCs/>
        </w:rPr>
        <w:t xml:space="preserve"> </w:t>
      </w:r>
      <w:r>
        <w:rPr>
          <w:rFonts w:cs="Arial" w:ascii="Arial" w:hAnsi="Arial"/>
          <w:b/>
          <w:bCs/>
        </w:rPr>
        <w:t>said</w:t>
      </w:r>
      <w:r>
        <w:rPr>
          <w:rFonts w:eastAsia="Arial" w:cs="Arial" w:ascii="Arial" w:hAnsi="Arial"/>
          <w:b/>
          <w:bCs/>
        </w:rPr>
        <w:t xml:space="preserve"> </w:t>
      </w:r>
      <w:r>
        <w:rPr>
          <w:rFonts w:cs="Arial" w:ascii="Arial" w:hAnsi="Arial"/>
          <w:b/>
          <w:bCs/>
        </w:rPr>
        <w:t>Building</w:t>
      </w:r>
      <w:r>
        <w:rPr>
          <w:rFonts w:eastAsia="Arial" w:cs="Arial" w:ascii="Arial" w:hAnsi="Arial"/>
        </w:rPr>
        <w:t>”)</w:t>
      </w:r>
      <w:r>
        <w:rPr>
          <w:rFonts w:eastAsia="Arial" w:cs="Arial" w:ascii="Arial" w:hAnsi="Arial"/>
          <w:b/>
        </w:rPr>
        <w:t xml:space="preserve"> </w:t>
      </w:r>
      <w:r>
        <w:rPr>
          <w:rFonts w:cs="Arial" w:ascii="Arial" w:hAnsi="Arial"/>
        </w:rPr>
        <w:t>at</w:t>
      </w:r>
      <w:r>
        <w:rPr>
          <w:rFonts w:eastAsia="Arial" w:cs="Arial" w:ascii="Arial" w:hAnsi="Arial"/>
        </w:rPr>
        <w:t xml:space="preserve"> </w:t>
      </w:r>
      <w:r>
        <w:rPr>
          <w:rFonts w:cs="Arial" w:ascii="Arial" w:hAnsi="Arial"/>
        </w:rPr>
        <w:t>the</w:t>
      </w:r>
      <w:r>
        <w:rPr>
          <w:rFonts w:eastAsia="Arial" w:cs="Arial" w:ascii="Arial" w:hAnsi="Arial"/>
        </w:rPr>
        <w:t xml:space="preserve"> purchase </w:t>
      </w:r>
      <w:r>
        <w:rPr>
          <w:rFonts w:cs="Arial" w:ascii="Arial" w:hAnsi="Arial"/>
        </w:rPr>
        <w:t>price</w:t>
      </w:r>
      <w:r>
        <w:rPr>
          <w:rFonts w:eastAsia="Arial" w:cs="Arial" w:ascii="Arial" w:hAnsi="Arial"/>
        </w:rPr>
        <w:t xml:space="preserve"> </w:t>
      </w:r>
      <w:r>
        <w:rPr>
          <w:rFonts w:cs="Arial" w:ascii="Arial" w:hAnsi="Arial"/>
        </w:rPr>
        <w:t>and</w:t>
      </w:r>
      <w:r>
        <w:rPr>
          <w:rFonts w:eastAsia="Arial" w:cs="Arial" w:ascii="Arial" w:hAnsi="Arial"/>
        </w:rPr>
        <w:t xml:space="preserve"> </w:t>
      </w:r>
      <w:r>
        <w:rPr>
          <w:rFonts w:cs="Arial" w:ascii="Arial" w:hAnsi="Arial"/>
        </w:rPr>
        <w:t>subject</w:t>
      </w:r>
      <w:r>
        <w:rPr>
          <w:rFonts w:eastAsia="Arial" w:cs="Arial" w:ascii="Arial" w:hAnsi="Arial"/>
        </w:rPr>
        <w:t xml:space="preserve"> </w:t>
      </w:r>
      <w:r>
        <w:rPr>
          <w:rFonts w:cs="Arial" w:ascii="Arial" w:hAnsi="Arial"/>
        </w:rPr>
        <w:t>to</w:t>
      </w:r>
      <w:r>
        <w:rPr>
          <w:rFonts w:eastAsia="Arial" w:cs="Arial" w:ascii="Arial" w:hAnsi="Arial"/>
        </w:rPr>
        <w:t xml:space="preserve"> </w:t>
      </w:r>
      <w:r>
        <w:rPr>
          <w:rFonts w:cs="Arial" w:ascii="Arial" w:hAnsi="Arial"/>
        </w:rPr>
        <w:t>the</w:t>
      </w:r>
      <w:r>
        <w:rPr>
          <w:rFonts w:eastAsia="Arial" w:cs="Arial" w:ascii="Arial" w:hAnsi="Arial"/>
        </w:rPr>
        <w:t xml:space="preserve"> </w:t>
      </w:r>
      <w:r>
        <w:rPr>
          <w:rFonts w:cs="Arial" w:ascii="Arial" w:hAnsi="Arial"/>
        </w:rPr>
        <w:t>terms</w:t>
      </w:r>
      <w:r>
        <w:rPr>
          <w:rFonts w:eastAsia="Arial" w:cs="Arial" w:ascii="Arial" w:hAnsi="Arial"/>
        </w:rPr>
        <w:t xml:space="preserve"> </w:t>
      </w:r>
      <w:r>
        <w:rPr>
          <w:rFonts w:cs="Arial" w:ascii="Arial" w:hAnsi="Arial"/>
        </w:rPr>
        <w:t>and</w:t>
      </w:r>
      <w:r>
        <w:rPr>
          <w:rFonts w:eastAsia="Arial" w:cs="Arial" w:ascii="Arial" w:hAnsi="Arial"/>
        </w:rPr>
        <w:t xml:space="preserve"> </w:t>
      </w:r>
      <w:r>
        <w:rPr>
          <w:rFonts w:cs="Arial" w:ascii="Arial" w:hAnsi="Arial"/>
        </w:rPr>
        <w:t>conditions</w:t>
      </w:r>
      <w:r>
        <w:rPr>
          <w:rFonts w:eastAsia="Arial" w:cs="Arial" w:ascii="Arial" w:hAnsi="Arial"/>
        </w:rPr>
        <w:t xml:space="preserve"> </w:t>
      </w:r>
      <w:r>
        <w:rPr>
          <w:rFonts w:cs="Arial" w:ascii="Arial" w:hAnsi="Arial"/>
        </w:rPr>
        <w:t>contained</w:t>
      </w:r>
      <w:r>
        <w:rPr>
          <w:rFonts w:eastAsia="Arial" w:cs="Arial" w:ascii="Arial" w:hAnsi="Arial"/>
        </w:rPr>
        <w:t xml:space="preserve"> </w:t>
      </w:r>
      <w:r>
        <w:rPr>
          <w:rFonts w:cs="Arial" w:ascii="Arial" w:hAnsi="Arial"/>
        </w:rPr>
        <w:t>in</w:t>
      </w:r>
      <w:r>
        <w:rPr>
          <w:rFonts w:eastAsia="Arial" w:cs="Arial" w:ascii="Arial" w:hAnsi="Arial"/>
        </w:rPr>
        <w:t xml:space="preserve"> </w:t>
      </w:r>
      <w:r>
        <w:rPr>
          <w:rFonts w:cs="Arial" w:ascii="Arial" w:hAnsi="Arial"/>
        </w:rPr>
        <w:t>the</w:t>
      </w:r>
      <w:r>
        <w:rPr>
          <w:rFonts w:eastAsia="Arial" w:cs="Arial" w:ascii="Arial" w:hAnsi="Arial"/>
        </w:rPr>
        <w:t xml:space="preserve"> </w:t>
      </w:r>
      <w:r>
        <w:rPr>
          <w:rFonts w:cs="Arial" w:ascii="Arial" w:hAnsi="Arial"/>
        </w:rPr>
        <w:t>Principal</w:t>
      </w:r>
      <w:r>
        <w:rPr>
          <w:rFonts w:eastAsia="Arial" w:cs="Arial" w:ascii="Arial" w:hAnsi="Arial"/>
        </w:rPr>
        <w:t xml:space="preserve"> </w:t>
      </w:r>
      <w:r>
        <w:rPr>
          <w:rFonts w:cs="Arial" w:ascii="Arial" w:hAnsi="Arial"/>
        </w:rPr>
        <w:t>Sale</w:t>
      </w:r>
      <w:r>
        <w:rPr>
          <w:rFonts w:eastAsia="Arial" w:cs="Arial" w:ascii="Arial" w:hAnsi="Arial"/>
        </w:rPr>
        <w:t xml:space="preserve"> </w:t>
      </w:r>
      <w:r>
        <w:rPr>
          <w:rFonts w:cs="Arial" w:ascii="Arial" w:hAnsi="Arial"/>
        </w:rPr>
        <w:t>Agreement</w:t>
      </w:r>
      <w:r>
        <w:rPr>
          <w:rFonts w:eastAsia="Arial" w:cs="Arial" w:ascii="Arial" w:hAnsi="Arial"/>
        </w:rPr>
        <w:t xml:space="preserve">. </w:t>
      </w:r>
    </w:p>
    <w:p>
      <w:pPr>
        <w:pStyle w:val="Normal"/>
        <w:tabs>
          <w:tab w:val="clear" w:pos="720"/>
          <w:tab w:val="center" w:pos="3667" w:leader="none"/>
        </w:tabs>
        <w:spacing w:lineRule="auto" w:line="360"/>
        <w:ind w:start="567" w:end="0"/>
        <w:jc w:val="both"/>
        <w:rPr>
          <w:rFonts w:ascii="Arial" w:hAnsi="Arial" w:cs="Arial"/>
          <w:b/>
          <w:bCs/>
        </w:rPr>
      </w:pPr>
      <w:r>
        <w:rPr>
          <w:rFonts w:cs="Arial" w:ascii="Arial" w:hAnsi="Arial"/>
          <w:b/>
          <w:bCs/>
        </w:rPr>
      </w:r>
    </w:p>
    <w:p>
      <w:pPr>
        <w:pStyle w:val="Normal"/>
        <w:numPr>
          <w:ilvl w:val="1"/>
          <w:numId w:val="3"/>
        </w:numPr>
        <w:tabs>
          <w:tab w:val="clear" w:pos="720"/>
          <w:tab w:val="left" w:pos="567" w:leader="none"/>
          <w:tab w:val="center" w:pos="3667" w:leader="none"/>
        </w:tabs>
        <w:ind w:hanging="567" w:start="567" w:end="0"/>
        <w:jc w:val="both"/>
        <w:rPr>
          <w:rFonts w:ascii="Arial" w:hAnsi="Arial" w:cs="Arial"/>
          <w:b/>
          <w:bCs/>
        </w:rPr>
      </w:pPr>
      <w:commentRangeStart w:id="14"/>
      <w:r>
        <w:rPr>
          <w:rFonts w:cs="Arial" w:ascii="Arial" w:hAnsi="Arial"/>
          <w:highlight w:val="cyan"/>
        </w:rPr>
        <w:t xml:space="preserve">The Strata Title in respect of the said Property has just been issued by the relevant authorities known as </w:t>
      </w:r>
      <w:r>
        <w:rPr>
          <w:rFonts w:cs="Arial" w:ascii="Arial" w:hAnsi="Arial"/>
          <w:b/>
          <w:bCs/>
          <w:highlight w:val="cyan"/>
        </w:rPr>
        <w:t>Geran 267134/M16-C/20/970 No. Bangunan M16-C, No. Tingkat 20, No. Petak 970, Lot 44028, Mukim of Dengkil, District of Sepang, State of Selangor</w:t>
      </w:r>
      <w:r>
        <w:rPr>
          <w:rFonts w:cs="Arial" w:ascii="Arial" w:hAnsi="Arial"/>
          <w:highlight w:val="cyan"/>
        </w:rPr>
        <w:t xml:space="preserve"> together with accessory parcel </w:t>
      </w:r>
      <w:r>
        <w:rPr>
          <w:rFonts w:cs="Arial" w:ascii="Arial" w:hAnsi="Arial"/>
          <w:b/>
          <w:bCs/>
          <w:highlight w:val="cyan"/>
        </w:rPr>
        <w:t>No. A1131</w:t>
      </w:r>
      <w:r>
        <w:rPr>
          <w:rFonts w:cs="Arial" w:ascii="Arial" w:hAnsi="Arial"/>
          <w:highlight w:val="cyan"/>
        </w:rPr>
        <w:t xml:space="preserve"> measuring in area approximately </w:t>
      </w:r>
      <w:r>
        <w:rPr>
          <w:rFonts w:cs="Arial" w:ascii="Arial" w:hAnsi="Arial"/>
          <w:b/>
          <w:bCs/>
          <w:highlight w:val="cyan"/>
        </w:rPr>
        <w:t>56</w:t>
      </w:r>
      <w:r>
        <w:rPr>
          <w:rFonts w:cs="Arial" w:ascii="Arial" w:hAnsi="Arial"/>
          <w:highlight w:val="cyan"/>
        </w:rPr>
        <w:t xml:space="preserve"> square feet (hereinafter referred to as “</w:t>
      </w:r>
      <w:r>
        <w:rPr>
          <w:rFonts w:cs="Arial" w:ascii="Arial" w:hAnsi="Arial"/>
          <w:b/>
          <w:highlight w:val="cyan"/>
        </w:rPr>
        <w:t>the Strata Title</w:t>
      </w:r>
      <w:r>
        <w:rPr>
          <w:rFonts w:cs="Arial" w:ascii="Arial" w:hAnsi="Arial"/>
          <w:highlight w:val="cyan"/>
        </w:rPr>
        <w:t>”) and currently registered in the name of the Proprietor.</w:t>
      </w:r>
      <w:commentRangeEnd w:id="14"/>
      <w:r>
        <w:rPr>
          <w:rStyle w:val="CommentReference"/>
        </w:rPr>
        <w:commentReference w:id="14"/>
      </w:r>
    </w:p>
    <w:p>
      <w:pPr>
        <w:pStyle w:val="ListParagraph"/>
        <w:rPr>
          <w:rFonts w:ascii="Arial" w:hAnsi="Arial" w:cs="Arial"/>
          <w:b/>
          <w:bCs/>
        </w:rPr>
      </w:pPr>
      <w:r>
        <w:rPr>
          <w:rFonts w:cs="Arial" w:ascii="Arial" w:hAnsi="Arial"/>
          <w:b/>
          <w:bCs/>
        </w:rPr>
      </w:r>
    </w:p>
    <w:p>
      <w:pPr>
        <w:pStyle w:val="Normal"/>
        <w:numPr>
          <w:ilvl w:val="1"/>
          <w:numId w:val="3"/>
        </w:numPr>
        <w:tabs>
          <w:tab w:val="clear" w:pos="720"/>
          <w:tab w:val="left" w:pos="567" w:leader="none"/>
          <w:tab w:val="center" w:pos="3667" w:leader="none"/>
        </w:tabs>
        <w:ind w:hanging="567" w:start="567" w:end="0"/>
        <w:jc w:val="both"/>
        <w:rPr>
          <w:rFonts w:ascii="Arial" w:hAnsi="Arial" w:cs="Arial"/>
          <w:b/>
          <w:bCs/>
        </w:rPr>
      </w:pPr>
      <w:r>
        <w:rPr>
          <w:rFonts w:cs="Arial" w:ascii="Arial" w:hAnsi="Arial"/>
        </w:rPr>
        <w:t>Following the issuance of the Strata Title, the said Building and the Strata Title are now more particularly described in Section IV of the First Schedule hereto (the said land together with the said building erected thereon inclusive of all fixtures and fittings affixed or installed thereat shall hereinafter collectively referred to as “</w:t>
      </w:r>
      <w:r>
        <w:rPr>
          <w:rFonts w:cs="Arial" w:ascii="Arial" w:hAnsi="Arial"/>
          <w:b/>
          <w:bCs/>
        </w:rPr>
        <w:t>the said Property</w:t>
      </w:r>
      <w:r>
        <w:rPr>
          <w:rFonts w:cs="Arial" w:ascii="Arial" w:hAnsi="Arial"/>
        </w:rPr>
        <w:t>”).</w:t>
      </w:r>
    </w:p>
    <w:p>
      <w:pPr>
        <w:pStyle w:val="Normal"/>
        <w:ind w:hanging="360" w:start="360" w:end="0"/>
        <w:jc w:val="both"/>
        <w:rPr>
          <w:rFonts w:ascii="Arial" w:hAnsi="Arial" w:cs="Arial"/>
          <w:b/>
          <w:bCs/>
        </w:rPr>
      </w:pPr>
      <w:r>
        <w:rPr>
          <w:rFonts w:cs="Arial" w:ascii="Arial" w:hAnsi="Arial"/>
          <w:b/>
          <w:bCs/>
        </w:rPr>
      </w:r>
    </w:p>
    <w:p>
      <w:pPr>
        <w:pStyle w:val="Normal"/>
        <w:ind w:hanging="567" w:start="567" w:end="0"/>
        <w:jc w:val="both"/>
        <w:rPr>
          <w:rFonts w:ascii="Arial" w:hAnsi="Arial" w:cs="Arial"/>
        </w:rPr>
      </w:pPr>
      <w:r>
        <w:rPr>
          <w:rFonts w:cs="Arial" w:ascii="Arial" w:hAnsi="Arial"/>
        </w:rPr>
        <w:t>4.</w:t>
        <w:tab/>
        <w:t xml:space="preserve">The said Property is currently </w:t>
      </w:r>
      <w:r>
        <w:rPr>
          <w:rFonts w:cs="Arial" w:ascii="Arial" w:hAnsi="Arial"/>
          <w:b/>
        </w:rPr>
        <w:t>FREE FROM ENCUMBRANCES</w:t>
      </w:r>
      <w:r>
        <w:rPr>
          <w:rFonts w:cs="Arial" w:ascii="Arial" w:hAnsi="Arial"/>
        </w:rPr>
        <w:t xml:space="preserve"> </w:t>
      </w:r>
    </w:p>
    <w:p>
      <w:pPr>
        <w:pStyle w:val="Normal"/>
        <w:ind w:hanging="360" w:start="360" w:end="0"/>
        <w:jc w:val="both"/>
        <w:rPr>
          <w:rFonts w:ascii="Arial" w:hAnsi="Arial" w:cs="Arial"/>
        </w:rPr>
      </w:pPr>
      <w:r>
        <w:rPr>
          <w:rFonts w:cs="Arial" w:ascii="Arial" w:hAnsi="Arial"/>
        </w:rPr>
      </w:r>
    </w:p>
    <w:p>
      <w:pPr>
        <w:pStyle w:val="Normal"/>
        <w:ind w:hanging="567" w:start="567" w:end="0"/>
        <w:jc w:val="both"/>
        <w:rPr>
          <w:rFonts w:ascii="Arial" w:hAnsi="Arial" w:cs="Arial"/>
        </w:rPr>
      </w:pPr>
      <w:r>
        <w:rPr>
          <w:rFonts w:cs="Arial" w:ascii="Arial" w:hAnsi="Arial"/>
        </w:rPr>
        <w:t>5.</w:t>
        <w:tab/>
        <w:t>The Strata Title of the said Property is subjected to the restriction-in-interest that the said Property can only be transferred leased or charged with the prior written consent of the “</w:t>
      </w:r>
      <w:bookmarkStart w:id="3" w:name="_Hlk230951076"/>
      <w:r>
        <w:rPr>
          <w:rFonts w:cs="Arial" w:ascii="Arial" w:hAnsi="Arial"/>
        </w:rPr>
        <w:t>Pihak Berkuasa Negeri</w:t>
      </w:r>
      <w:bookmarkEnd w:id="3"/>
      <w:r>
        <w:rPr>
          <w:rFonts w:cs="Arial" w:ascii="Arial" w:hAnsi="Arial"/>
        </w:rPr>
        <w:t>”.</w:t>
      </w:r>
    </w:p>
    <w:p>
      <w:pPr>
        <w:pStyle w:val="Normal"/>
        <w:ind w:hanging="360" w:start="360" w:end="0"/>
        <w:jc w:val="both"/>
        <w:rPr>
          <w:rFonts w:ascii="Arial" w:hAnsi="Arial" w:cs="Arial"/>
        </w:rPr>
      </w:pPr>
      <w:r>
        <w:rPr>
          <w:rFonts w:cs="Arial" w:ascii="Arial" w:hAnsi="Arial"/>
        </w:rPr>
      </w:r>
    </w:p>
    <w:p>
      <w:pPr>
        <w:pStyle w:val="Normal"/>
        <w:ind w:hanging="567" w:start="567" w:end="0"/>
        <w:jc w:val="both"/>
        <w:rPr>
          <w:rFonts w:ascii="Arial" w:hAnsi="Arial" w:cs="Arial"/>
        </w:rPr>
      </w:pPr>
      <w:commentRangeStart w:id="13"/>
      <w:r>
        <w:rPr>
          <w:rFonts w:cs="Arial" w:ascii="Arial" w:hAnsi="Arial"/>
          <w:highlight w:val="yellow"/>
        </w:rPr>
        <w:t xml:space="preserve">6. </w:t>
        <w:tab/>
        <w:t>The Purchaser has inspected the said Property and has conducted necessary search over the Strata Title and enquiry on the status of the said Property at the appropriate Land Registry and Local Authorities and is satisfied with its status, nature and condition of the said Property.</w:t>
      </w:r>
      <w:commentRangeEnd w:id="13"/>
      <w:r>
        <w:rPr>
          <w:rStyle w:val="CommentReference"/>
        </w:rPr>
        <w:commentReference w:id="13"/>
      </w:r>
    </w:p>
    <w:p>
      <w:pPr>
        <w:pStyle w:val="Normal"/>
        <w:ind w:hanging="360" w:start="360" w:end="0"/>
        <w:jc w:val="both"/>
        <w:rPr>
          <w:rFonts w:ascii="Arial" w:hAnsi="Arial" w:cs="Arial"/>
        </w:rPr>
      </w:pPr>
      <w:r>
        <w:rPr>
          <w:rFonts w:cs="Arial" w:ascii="Arial" w:hAnsi="Arial"/>
        </w:rPr>
      </w:r>
    </w:p>
    <w:p>
      <w:pPr>
        <w:pStyle w:val="Normal"/>
        <w:numPr>
          <w:ilvl w:val="1"/>
          <w:numId w:val="9"/>
        </w:numPr>
        <w:tabs>
          <w:tab w:val="clear" w:pos="720"/>
          <w:tab w:val="left" w:pos="567" w:leader="none"/>
        </w:tabs>
        <w:ind w:hanging="567" w:start="567" w:end="0"/>
        <w:jc w:val="both"/>
        <w:rPr>
          <w:rFonts w:ascii="Arial" w:hAnsi="Arial" w:eastAsia="Arial" w:cs="Arial"/>
          <w:sz w:val="22"/>
          <w:szCs w:val="22"/>
        </w:rPr>
      </w:pPr>
      <w:r>
        <w:rPr>
          <w:rFonts w:cs="Arial" w:ascii="Arial" w:hAnsi="Arial"/>
        </w:rPr>
        <w:t xml:space="preserve">The Vendor is desirous to sell to the Purchaser and the Purchaser is desirous to purchase from the Vendor the said Property </w:t>
      </w:r>
      <w:r>
        <w:rPr>
          <w:rFonts w:cs="Arial" w:ascii="Arial" w:hAnsi="Arial"/>
          <w:sz w:val="22"/>
          <w:szCs w:val="22"/>
        </w:rPr>
        <w:t xml:space="preserve">together with vacant possession and free from all encumbrances, liens, caveats, lease and on an “as is where is” basis and subject to the provisions of this Agreement and the conditions of title expressed or implied in the Strata Title of the said Property </w:t>
      </w:r>
      <w:r>
        <w:rPr>
          <w:rFonts w:cs="Arial" w:ascii="Arial" w:hAnsi="Arial"/>
        </w:rPr>
        <w:t>for the consideration and upon all the terms and conditions hereinafter contained and set forth.</w:t>
      </w:r>
      <w:r>
        <w:rPr>
          <w:rFonts w:cs="Arial" w:ascii="Arial" w:hAnsi="Arial"/>
          <w:sz w:val="22"/>
          <w:szCs w:val="22"/>
        </w:rPr>
        <w:t xml:space="preserve"> </w:t>
      </w:r>
    </w:p>
    <w:p>
      <w:pPr>
        <w:pStyle w:val="Normal"/>
        <w:ind w:hanging="360" w:start="360" w:end="0"/>
        <w:jc w:val="both"/>
        <w:rPr>
          <w:rFonts w:ascii="Arial" w:hAnsi="Arial" w:eastAsia="Arial" w:cs="Arial"/>
          <w:sz w:val="22"/>
          <w:szCs w:val="22"/>
        </w:rPr>
      </w:pPr>
      <w:r>
        <w:rPr>
          <w:rFonts w:eastAsia="Arial" w:cs="Arial" w:ascii="Arial" w:hAnsi="Arial"/>
          <w:sz w:val="22"/>
          <w:szCs w:val="22"/>
        </w:rPr>
      </w:r>
    </w:p>
    <w:p>
      <w:pPr>
        <w:pStyle w:val="Normal"/>
        <w:ind w:hanging="567" w:start="567" w:end="0"/>
        <w:jc w:val="both"/>
        <w:rPr>
          <w:rFonts w:ascii="Arial" w:hAnsi="Arial" w:cs="Arial"/>
        </w:rPr>
      </w:pPr>
      <w:r>
        <w:rPr>
          <w:rFonts w:cs="Arial" w:ascii="Arial" w:hAnsi="Arial"/>
        </w:rPr>
        <w:t>8.</w:t>
        <w:tab/>
        <w:t xml:space="preserve">The Vendor appoints </w:t>
      </w:r>
      <w:r>
        <w:rPr>
          <w:rFonts w:cs="Arial" w:ascii="Arial" w:hAnsi="Arial"/>
          <w:b/>
        </w:rPr>
        <w:t xml:space="preserve">Messrs Eunice Tan &amp; Partners, Advocates &amp; Solicitors </w:t>
      </w:r>
      <w:r>
        <w:rPr>
          <w:rFonts w:cs="Arial" w:ascii="Arial" w:hAnsi="Arial"/>
        </w:rPr>
        <w:t>of</w:t>
      </w:r>
      <w:r>
        <w:rPr>
          <w:rFonts w:cs="Arial" w:ascii="Arial" w:hAnsi="Arial"/>
          <w:b/>
        </w:rPr>
        <w:t xml:space="preserve"> No.6-3, Block C, Platinum Walk, No. 2 Jalan Langkawi, 53300 Setapak, Kuala Lumpur </w:t>
      </w:r>
      <w:r>
        <w:rPr>
          <w:rFonts w:cs="Arial" w:ascii="Arial" w:hAnsi="Arial"/>
        </w:rPr>
        <w:t xml:space="preserve">as the Vendor’s Solicitors (hereinafter referred to as </w:t>
      </w:r>
      <w:r>
        <w:rPr>
          <w:rFonts w:cs="Arial" w:ascii="Arial" w:hAnsi="Arial"/>
          <w:b/>
        </w:rPr>
        <w:t>“the Vendor’s Solicitors”</w:t>
      </w:r>
      <w:r>
        <w:rPr>
          <w:rFonts w:cs="Arial" w:ascii="Arial" w:hAnsi="Arial"/>
        </w:rPr>
        <w:t>).</w:t>
      </w:r>
    </w:p>
    <w:p>
      <w:pPr>
        <w:pStyle w:val="Normal"/>
        <w:ind w:hanging="360" w:start="360" w:end="0"/>
        <w:jc w:val="both"/>
        <w:rPr>
          <w:rFonts w:ascii="Arial" w:hAnsi="Arial" w:cs="Arial"/>
        </w:rPr>
      </w:pPr>
      <w:r>
        <w:rPr>
          <w:rFonts w:cs="Arial" w:ascii="Arial" w:hAnsi="Arial"/>
        </w:rPr>
      </w:r>
    </w:p>
    <w:p>
      <w:pPr>
        <w:pStyle w:val="Normal"/>
        <w:numPr>
          <w:ilvl w:val="0"/>
          <w:numId w:val="8"/>
        </w:numPr>
        <w:ind w:hanging="567" w:start="567" w:end="0"/>
        <w:jc w:val="both"/>
        <w:rPr>
          <w:rFonts w:ascii="Arial" w:hAnsi="Arial" w:cs="Arial"/>
        </w:rPr>
      </w:pPr>
      <w:r>
        <w:rPr>
          <w:rFonts w:cs="Arial" w:ascii="Arial" w:hAnsi="Arial"/>
        </w:rPr>
        <w:t xml:space="preserve">The Purchaser is represented by </w:t>
      </w:r>
      <w:r>
        <w:rPr>
          <w:rFonts w:cs="Arial" w:ascii="Arial" w:hAnsi="Arial"/>
          <w:b/>
        </w:rPr>
        <w:t xml:space="preserve">Messrs Ong &amp; Raymond Hor, Advocates &amp; Solicitors </w:t>
      </w:r>
      <w:r>
        <w:rPr>
          <w:rFonts w:cs="Arial" w:ascii="Arial" w:hAnsi="Arial"/>
        </w:rPr>
        <w:t xml:space="preserve">of </w:t>
      </w:r>
      <w:r>
        <w:rPr>
          <w:rFonts w:cs="Arial" w:ascii="Arial" w:hAnsi="Arial"/>
          <w:b/>
        </w:rPr>
        <w:t xml:space="preserve">No.15, 1st Floor, Persiaran TBC, Taiping Business Centre, 34000 Taiping, Perak Darul Ridzuan </w:t>
      </w:r>
      <w:r>
        <w:rPr>
          <w:rFonts w:cs="Arial" w:ascii="Arial" w:hAnsi="Arial"/>
        </w:rPr>
        <w:t xml:space="preserve">(hereinafter referred to as </w:t>
      </w:r>
      <w:r>
        <w:rPr>
          <w:rFonts w:cs="Arial" w:ascii="Arial" w:hAnsi="Arial"/>
          <w:b/>
        </w:rPr>
        <w:t>“the Purchaser’s Solicitors”</w:t>
      </w:r>
      <w:r>
        <w:rPr>
          <w:rFonts w:cs="Arial" w:ascii="Arial" w:hAnsi="Arial"/>
        </w:rPr>
        <w:t xml:space="preserve">). </w:t>
      </w:r>
    </w:p>
    <w:p>
      <w:pPr>
        <w:pStyle w:val="Normal"/>
        <w:jc w:val="both"/>
        <w:rPr>
          <w:rFonts w:ascii="Arial" w:hAnsi="Arial" w:cs="Arial"/>
        </w:rPr>
      </w:pPr>
      <w:r>
        <w:rPr>
          <w:rFonts w:cs="Arial" w:ascii="Arial" w:hAnsi="Arial"/>
        </w:rPr>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b/>
          <w:bCs/>
          <w:sz w:val="28"/>
          <w:szCs w:val="28"/>
        </w:rPr>
      </w:pPr>
      <w:r>
        <w:rPr>
          <w:rFonts w:cs="Arial" w:ascii="Arial" w:hAnsi="Arial"/>
          <w:b/>
          <w:bCs/>
          <w:sz w:val="28"/>
          <w:szCs w:val="28"/>
        </w:rPr>
        <w:t xml:space="preserve">NOW THIS AGREEMENT WITNESSETH as follows: - </w:t>
      </w:r>
    </w:p>
    <w:p>
      <w:pPr>
        <w:pStyle w:val="Normal"/>
        <w:ind w:hanging="360" w:start="360" w:end="0"/>
        <w:jc w:val="both"/>
        <w:rPr>
          <w:rFonts w:ascii="Arial" w:hAnsi="Arial" w:cs="Arial"/>
          <w:b/>
          <w:bCs/>
          <w:sz w:val="28"/>
          <w:szCs w:val="28"/>
        </w:rPr>
      </w:pPr>
      <w:r>
        <w:rPr>
          <w:rFonts w:cs="Arial" w:ascii="Arial" w:hAnsi="Arial"/>
          <w:b/>
          <w:bCs/>
          <w:sz w:val="28"/>
          <w:szCs w:val="28"/>
        </w:rPr>
      </w:r>
    </w:p>
    <w:p>
      <w:pPr>
        <w:pStyle w:val="Normal"/>
        <w:ind w:hanging="360" w:start="360" w:end="0"/>
        <w:jc w:val="both"/>
        <w:rPr>
          <w:rFonts w:ascii="Arial" w:hAnsi="Arial" w:cs="Arial"/>
          <w:b/>
          <w:bCs/>
        </w:rPr>
      </w:pPr>
      <w:r>
        <w:rPr>
          <w:rFonts w:cs="Arial" w:ascii="Arial" w:hAnsi="Arial"/>
          <w:b/>
          <w:bCs/>
        </w:rPr>
        <w:t xml:space="preserve">1. </w:t>
        <w:tab/>
      </w:r>
      <w:r>
        <w:rPr>
          <w:rFonts w:cs="Arial" w:ascii="Arial" w:hAnsi="Arial"/>
          <w:b/>
          <w:bCs/>
          <w:u w:val="single"/>
        </w:rPr>
        <w:t>AGREEMENT TO SELL AND TO PURCHASE</w:t>
      </w:r>
    </w:p>
    <w:p>
      <w:pPr>
        <w:pStyle w:val="Normal"/>
        <w:ind w:hanging="360" w:start="360" w:end="0"/>
        <w:jc w:val="both"/>
        <w:rPr>
          <w:rFonts w:ascii="Arial" w:hAnsi="Arial" w:cs="Arial"/>
          <w:b/>
          <w:bCs/>
        </w:rPr>
      </w:pPr>
      <w:r>
        <w:rPr>
          <w:rFonts w:cs="Arial" w:ascii="Arial" w:hAnsi="Arial"/>
          <w:b/>
          <w:bCs/>
        </w:rPr>
      </w:r>
    </w:p>
    <w:p>
      <w:pPr>
        <w:pStyle w:val="Normal"/>
        <w:ind w:firstLine="14" w:start="374" w:end="0"/>
        <w:jc w:val="both"/>
        <w:rPr/>
      </w:pPr>
      <w:commentRangeStart w:id="1"/>
      <w:r>
        <w:rPr>
          <w:rFonts w:cs="Arial" w:ascii="Arial" w:hAnsi="Arial"/>
          <w:highlight w:val="yellow"/>
        </w:rPr>
        <w:t>IN CONSIDERATION of the sum stipulated in Section I</w:t>
      </w:r>
      <w:r>
        <w:rPr>
          <w:rFonts w:cs="Arial" w:ascii="Arial" w:hAnsi="Arial"/>
          <w:i/>
          <w:iCs/>
        </w:rPr>
        <w:t xml:space="preserve"> </w:t>
      </w:r>
      <w:r>
        <w:rPr>
          <w:rFonts w:cs="Arial" w:ascii="Arial" w:hAnsi="Arial"/>
          <w:highlight w:val="yellow"/>
        </w:rPr>
        <w:t>of the Second Schedule hereto paid by the Purchaser to the Vendor upon execution of this Agreement, the receipt of which the Vendor hereby acknowledges as to account for the Purchase Price (hereinafter referred to as “</w:t>
      </w:r>
      <w:r>
        <w:rPr>
          <w:rFonts w:cs="Arial" w:ascii="Arial" w:hAnsi="Arial"/>
          <w:b/>
          <w:bCs/>
          <w:highlight w:val="yellow"/>
        </w:rPr>
        <w:t>the Deposit</w:t>
      </w:r>
      <w:r>
        <w:rPr>
          <w:rFonts w:cs="Arial" w:ascii="Arial" w:hAnsi="Arial"/>
          <w:highlight w:val="yellow"/>
        </w:rPr>
        <w:t>”), the Vendor hereby agrees to sell and the Purchaser agrees to purchase the said Property free from all charges and encumbrances,</w:t>
      </w:r>
      <w:r>
        <w:rPr>
          <w:rFonts w:cs="Arial" w:ascii="Arial" w:hAnsi="Arial"/>
          <w:sz w:val="22"/>
          <w:szCs w:val="22"/>
          <w:highlight w:val="yellow"/>
        </w:rPr>
        <w:t xml:space="preserve"> liens, caveats, lease</w:t>
      </w:r>
      <w:r>
        <w:rPr>
          <w:rFonts w:cs="Arial" w:ascii="Arial" w:hAnsi="Arial"/>
          <w:highlight w:val="yellow"/>
        </w:rPr>
        <w:t xml:space="preserve"> and with vacant possession on an “as is where is” basis at the total Purchase Price stipulated in Section II of the Second Schedule hereto upon all the terms and subject to all the conditions hereinafter contained and set forth PROVIDED ALWAYS that the sale herein contained shall be subject to all the conditions and restrictions and category of land use express or implied imposed contained in the document(s) of title relating to or affecting the said Property or to which the said Property is subject. </w:t>
      </w:r>
      <w:commentRangeEnd w:id="1"/>
      <w:r>
        <w:rPr>
          <w:rStyle w:val="CommentReference"/>
        </w:rPr>
        <w:commentReference w:id="1"/>
      </w:r>
    </w:p>
    <w:p>
      <w:pPr>
        <w:pStyle w:val="BodyTextIndent2"/>
        <w:ind w:hanging="0" w:start="0" w:end="0"/>
        <w:rPr>
          <w:rFonts w:ascii="Arial" w:hAnsi="Arial" w:cs="Arial"/>
          <w:sz w:val="24"/>
        </w:rPr>
      </w:pPr>
      <w:r>
        <w:rPr>
          <w:rFonts w:cs="Arial" w:ascii="Arial" w:hAnsi="Arial"/>
          <w:sz w:val="24"/>
        </w:rPr>
      </w:r>
    </w:p>
    <w:p>
      <w:pPr>
        <w:pStyle w:val="Normal"/>
        <w:ind w:hanging="360" w:start="360" w:end="0"/>
        <w:jc w:val="both"/>
        <w:rPr>
          <w:rFonts w:ascii="Arial" w:hAnsi="Arial" w:cs="Arial"/>
          <w:b/>
          <w:bCs/>
          <w:sz w:val="28"/>
          <w:szCs w:val="28"/>
          <w:u w:val="single"/>
        </w:rPr>
      </w:pPr>
      <w:r>
        <w:rPr>
          <w:rFonts w:cs="Arial" w:ascii="Arial" w:hAnsi="Arial"/>
          <w:b/>
          <w:bCs/>
          <w:sz w:val="28"/>
          <w:szCs w:val="28"/>
        </w:rPr>
        <w:t xml:space="preserve">2. </w:t>
        <w:tab/>
      </w:r>
      <w:r>
        <w:rPr>
          <w:rFonts w:cs="Arial" w:ascii="Arial" w:hAnsi="Arial"/>
          <w:b/>
          <w:bCs/>
          <w:u w:val="single"/>
        </w:rPr>
        <w:t>DELIVERY OF DOCUMENTS</w:t>
      </w:r>
    </w:p>
    <w:p>
      <w:pPr>
        <w:pStyle w:val="Normal"/>
        <w:ind w:hanging="360" w:start="360" w:end="0"/>
        <w:jc w:val="both"/>
        <w:rPr>
          <w:rFonts w:ascii="Arial" w:hAnsi="Arial" w:cs="Arial"/>
          <w:b/>
          <w:bCs/>
          <w:sz w:val="28"/>
          <w:szCs w:val="28"/>
          <w:u w:val="single"/>
        </w:rPr>
      </w:pPr>
      <w:r>
        <w:rPr>
          <w:rFonts w:cs="Arial" w:ascii="Arial" w:hAnsi="Arial"/>
          <w:b/>
          <w:bCs/>
          <w:sz w:val="28"/>
          <w:szCs w:val="28"/>
          <w:u w:val="single"/>
        </w:rPr>
      </w:r>
    </w:p>
    <w:p>
      <w:pPr>
        <w:pStyle w:val="Normal"/>
        <w:ind w:hanging="708" w:start="1134" w:end="0"/>
        <w:jc w:val="both"/>
        <w:rPr>
          <w:rFonts w:ascii="Arial" w:hAnsi="Arial" w:cs="Arial"/>
          <w:b/>
          <w:bCs/>
          <w:sz w:val="28"/>
          <w:szCs w:val="28"/>
          <w:u w:val="single"/>
        </w:rPr>
      </w:pPr>
      <w:r>
        <w:rPr>
          <w:rFonts w:cs="Arial" w:ascii="Arial" w:hAnsi="Arial"/>
        </w:rPr>
        <w:t>2.1</w:t>
        <w:tab/>
        <w:t xml:space="preserve">Upon the execution of this Agreement, the Vendor shall: - </w:t>
      </w:r>
    </w:p>
    <w:p>
      <w:pPr>
        <w:pStyle w:val="Normal"/>
        <w:ind w:hanging="720" w:start="1080" w:end="0"/>
        <w:jc w:val="both"/>
        <w:rPr>
          <w:rFonts w:ascii="Arial" w:hAnsi="Arial" w:cs="Arial"/>
          <w:b/>
          <w:bCs/>
          <w:sz w:val="28"/>
          <w:szCs w:val="28"/>
          <w:u w:val="single"/>
        </w:rPr>
      </w:pPr>
      <w:r>
        <w:rPr>
          <w:rFonts w:cs="Arial" w:ascii="Arial" w:hAnsi="Arial"/>
          <w:b/>
          <w:bCs/>
          <w:sz w:val="28"/>
          <w:szCs w:val="28"/>
          <w:u w:val="single"/>
        </w:rPr>
      </w:r>
    </w:p>
    <w:p>
      <w:pPr>
        <w:pStyle w:val="Normal"/>
        <w:numPr>
          <w:ilvl w:val="0"/>
          <w:numId w:val="18"/>
        </w:numPr>
        <w:jc w:val="both"/>
        <w:rPr>
          <w:rFonts w:ascii="Arial" w:hAnsi="Arial" w:cs="Arial"/>
          <w:lang w:val="en-MY"/>
        </w:rPr>
      </w:pPr>
      <w:r>
        <w:rPr>
          <w:rFonts w:eastAsia="Arial" w:cs="Arial" w:ascii="Arial" w:hAnsi="Arial"/>
          <w:lang w:val="en-MY"/>
        </w:rPr>
        <w:t xml:space="preserve"> </w:t>
      </w:r>
      <w:r>
        <w:rPr>
          <w:rFonts w:cs="Arial" w:ascii="Arial" w:hAnsi="Arial"/>
          <w:lang w:val="en-MY"/>
        </w:rPr>
        <w:t>deliver to the Vendor’s Solicitors for their onward transmission to the Purchaser’s Solicitors all documents in the Vendor’s possession or control relating to the said Property;</w:t>
      </w:r>
    </w:p>
    <w:p>
      <w:pPr>
        <w:pStyle w:val="Normal"/>
        <w:ind w:hanging="360" w:start="1440" w:end="0"/>
        <w:jc w:val="both"/>
        <w:rPr>
          <w:rFonts w:ascii="Arial" w:hAnsi="Arial" w:cs="Arial"/>
          <w:lang w:val="en-MY"/>
        </w:rPr>
      </w:pPr>
      <w:r>
        <w:rPr>
          <w:rFonts w:cs="Arial" w:ascii="Arial" w:hAnsi="Arial"/>
          <w:lang w:val="en-MY"/>
        </w:rPr>
      </w:r>
    </w:p>
    <w:p>
      <w:pPr>
        <w:pStyle w:val="Normal"/>
        <w:numPr>
          <w:ilvl w:val="0"/>
          <w:numId w:val="14"/>
        </w:numPr>
        <w:jc w:val="both"/>
        <w:rPr>
          <w:rFonts w:ascii="Arial" w:hAnsi="Arial" w:cs="Arial"/>
        </w:rPr>
      </w:pPr>
      <w:r>
        <w:rPr>
          <w:rFonts w:eastAsia="Arial" w:cs="Arial" w:ascii="Arial" w:hAnsi="Arial"/>
          <w:lang w:val="en-MY"/>
        </w:rPr>
        <w:t xml:space="preserve"> </w:t>
      </w:r>
      <w:r>
        <w:rPr>
          <w:rFonts w:cs="Arial" w:ascii="Arial" w:hAnsi="Arial"/>
          <w:lang w:val="en-MY"/>
        </w:rPr>
        <w:t>use its best endeavours and render all necessary assistance to procure and facilitate the release and/or delivery of the original Strata Title from the Proprietor and/or the Developer, as the case may be, for the purpose of registration of the Memorandum of Transfer in favour of the Purchaser;</w:t>
      </w:r>
    </w:p>
    <w:p>
      <w:pPr>
        <w:pStyle w:val="Normal"/>
        <w:jc w:val="both"/>
        <w:rPr>
          <w:rFonts w:ascii="Arial" w:hAnsi="Arial" w:cs="Arial"/>
        </w:rPr>
      </w:pPr>
      <w:r>
        <w:rPr>
          <w:rFonts w:cs="Arial" w:ascii="Arial" w:hAnsi="Arial"/>
        </w:rPr>
      </w:r>
    </w:p>
    <w:p>
      <w:pPr>
        <w:pStyle w:val="Normal"/>
        <w:numPr>
          <w:ilvl w:val="0"/>
          <w:numId w:val="14"/>
        </w:numPr>
        <w:jc w:val="both"/>
        <w:rPr>
          <w:rFonts w:ascii="Arial" w:hAnsi="Arial" w:cs="Arial"/>
        </w:rPr>
      </w:pPr>
      <w:r>
        <w:rPr>
          <w:rFonts w:eastAsia="Arial" w:cs="Arial" w:ascii="Arial" w:hAnsi="Arial"/>
        </w:rPr>
        <w:t xml:space="preserve"> </w:t>
      </w:r>
      <w:r>
        <w:rPr>
          <w:rFonts w:cs="Arial" w:ascii="Arial" w:hAnsi="Arial"/>
        </w:rPr>
        <w:t>deliver to the Vendor’s Solicitors for their onwards transmission to the Purchaser’s Solicitors the Vendor’s Identity Card, the Vendor’s income tax reference number and the particulars of the filing branch, and the</w:t>
      </w:r>
      <w:r>
        <w:rPr>
          <w:rFonts w:cs="Arial" w:ascii="Arial" w:hAnsi="Arial"/>
          <w:color w:val="975CCB"/>
        </w:rPr>
        <w:t xml:space="preserve"> </w:t>
      </w:r>
      <w:r>
        <w:rPr>
          <w:rFonts w:cs="Arial" w:ascii="Arial" w:hAnsi="Arial"/>
        </w:rPr>
        <w:t xml:space="preserve">original current year quit rent and assessment;  </w:t>
      </w:r>
    </w:p>
    <w:p>
      <w:pPr>
        <w:pStyle w:val="Normal"/>
        <w:jc w:val="both"/>
        <w:rPr>
          <w:rFonts w:ascii="Arial" w:hAnsi="Arial" w:cs="Arial"/>
        </w:rPr>
      </w:pPr>
      <w:r>
        <w:rPr>
          <w:rFonts w:cs="Arial" w:ascii="Arial" w:hAnsi="Arial"/>
        </w:rPr>
      </w:r>
    </w:p>
    <w:p>
      <w:pPr>
        <w:pStyle w:val="Normal"/>
        <w:ind w:start="426" w:end="0"/>
        <w:jc w:val="both"/>
        <w:rPr/>
      </w:pPr>
      <w:r>
        <w:rPr>
          <w:rFonts w:cs="Arial" w:ascii="Arial" w:hAnsi="Arial"/>
        </w:rPr>
        <w:t>2.2</w:t>
      </w:r>
      <w:r>
        <w:rPr>
          <w:rFonts w:cs="Arial" w:ascii="Arial" w:hAnsi="Arial"/>
          <w:color w:val="975CCB"/>
        </w:rPr>
        <w:t xml:space="preserve">      </w:t>
      </w:r>
      <w:r>
        <w:rPr>
          <w:rFonts w:cs="Arial" w:ascii="Arial" w:hAnsi="Arial"/>
        </w:rPr>
        <w:t xml:space="preserve">Vendor’s Solicitor shall forward the original issue document of title to the  </w:t>
      </w:r>
    </w:p>
    <w:p>
      <w:pPr>
        <w:pStyle w:val="Normal"/>
        <w:ind w:start="426" w:end="0"/>
        <w:jc w:val="both"/>
        <w:rPr/>
      </w:pPr>
      <w:r>
        <w:rPr>
          <w:rFonts w:eastAsia="Arial" w:cs="Arial" w:ascii="Arial" w:hAnsi="Arial"/>
        </w:rPr>
        <w:t xml:space="preserve">           </w:t>
      </w:r>
      <w:r>
        <w:rPr>
          <w:rFonts w:cs="Arial" w:ascii="Arial" w:hAnsi="Arial"/>
        </w:rPr>
        <w:t xml:space="preserve">Purchaser’s Solicitor within seven (7) working days upon completion of  </w:t>
      </w:r>
    </w:p>
    <w:p>
      <w:pPr>
        <w:pStyle w:val="Normal"/>
        <w:ind w:hanging="708" w:start="1134" w:end="0"/>
        <w:jc w:val="both"/>
        <w:rPr>
          <w:rFonts w:ascii="Arial" w:hAnsi="Arial" w:cs="Arial"/>
        </w:rPr>
      </w:pPr>
      <w:r>
        <w:rPr>
          <w:rFonts w:eastAsia="Arial" w:cs="Arial" w:ascii="Arial" w:hAnsi="Arial"/>
        </w:rPr>
        <w:t xml:space="preserve">           </w:t>
      </w:r>
      <w:r>
        <w:rPr>
          <w:rFonts w:cs="Arial" w:ascii="Arial" w:hAnsi="Arial"/>
        </w:rPr>
        <w:t>the 1</w:t>
      </w:r>
      <w:r>
        <w:rPr>
          <w:rFonts w:cs="Arial" w:ascii="Arial" w:hAnsi="Arial"/>
          <w:vertAlign w:val="superscript"/>
        </w:rPr>
        <w:t>st</w:t>
      </w:r>
      <w:r>
        <w:rPr>
          <w:rFonts w:cs="Arial" w:ascii="Arial" w:hAnsi="Arial"/>
        </w:rPr>
        <w:t xml:space="preserve"> transfer provided the Purchaser has paid the differential sum (if any) and/or received Letter of Undertaking from the Purchasers’ Financier to release the loan sum as a part finance of the said Property. </w:t>
      </w:r>
    </w:p>
    <w:p>
      <w:pPr>
        <w:pStyle w:val="Normal"/>
        <w:ind w:start="1440" w:end="0"/>
        <w:jc w:val="both"/>
        <w:rPr>
          <w:rFonts w:ascii="Arial" w:hAnsi="Arial" w:cs="Arial"/>
          <w:color w:val="975CCB"/>
        </w:rPr>
      </w:pPr>
      <w:r>
        <w:rPr>
          <w:rFonts w:cs="Arial" w:ascii="Arial" w:hAnsi="Arial"/>
          <w:color w:val="975CCB"/>
        </w:rPr>
      </w:r>
    </w:p>
    <w:p>
      <w:pPr>
        <w:pStyle w:val="Normal"/>
        <w:ind w:hanging="708" w:start="1134" w:end="0"/>
        <w:jc w:val="both"/>
        <w:rPr/>
      </w:pPr>
      <w:r>
        <w:rPr>
          <w:rFonts w:cs="Arial" w:ascii="Arial" w:hAnsi="Arial"/>
        </w:rPr>
        <w:t>2.3</w:t>
        <w:tab/>
        <w:t>Upon the execution of this Agreement, the Purchaser shall forward the following documents to the Vendor’s Solicitors:=</w:t>
      </w:r>
    </w:p>
    <w:p>
      <w:pPr>
        <w:pStyle w:val="Normal"/>
        <w:ind w:hanging="708" w:start="1134" w:end="0"/>
        <w:jc w:val="both"/>
        <w:rPr>
          <w:rFonts w:ascii="Arial" w:hAnsi="Arial" w:cs="Arial"/>
        </w:rPr>
      </w:pPr>
      <w:r>
        <w:rPr>
          <w:rFonts w:cs="Arial" w:ascii="Arial" w:hAnsi="Arial"/>
        </w:rPr>
      </w:r>
    </w:p>
    <w:p>
      <w:pPr>
        <w:pStyle w:val="Normal"/>
        <w:numPr>
          <w:ilvl w:val="0"/>
          <w:numId w:val="19"/>
        </w:numPr>
        <w:tabs>
          <w:tab w:val="clear" w:pos="720"/>
          <w:tab w:val="left" w:pos="1418" w:leader="none"/>
        </w:tabs>
        <w:spacing w:lineRule="auto" w:line="360"/>
        <w:ind w:hanging="284" w:start="1418" w:end="0"/>
        <w:jc w:val="both"/>
        <w:rPr>
          <w:rFonts w:ascii="Arial" w:hAnsi="Arial" w:cs="Arial"/>
          <w:sz w:val="22"/>
          <w:szCs w:val="22"/>
        </w:rPr>
      </w:pPr>
      <w:r>
        <w:rPr>
          <w:rFonts w:eastAsia="Arial" w:cs="Arial" w:ascii="Arial" w:hAnsi="Arial"/>
        </w:rPr>
        <w:t xml:space="preserve"> </w:t>
      </w:r>
      <w:commentRangeStart w:id="22"/>
      <w:r>
        <w:rPr>
          <w:rFonts w:cs="Arial" w:ascii="Arial" w:hAnsi="Arial"/>
          <w:sz w:val="22"/>
          <w:szCs w:val="22"/>
          <w:highlight w:val="cyan"/>
          <w:lang w:val="en-GB"/>
        </w:rPr>
        <w:t xml:space="preserve">A certified true copy each of the </w:t>
      </w:r>
      <w:r>
        <w:rPr>
          <w:rFonts w:cs="Arial" w:ascii="Arial" w:hAnsi="Arial"/>
          <w:b/>
          <w:sz w:val="22"/>
          <w:szCs w:val="22"/>
          <w:highlight w:val="cyan"/>
          <w:lang w:val="en-GB"/>
        </w:rPr>
        <w:t xml:space="preserve">COLOURED </w:t>
      </w:r>
      <w:r>
        <w:rPr>
          <w:rFonts w:cs="Arial" w:ascii="Arial" w:hAnsi="Arial"/>
          <w:sz w:val="22"/>
          <w:szCs w:val="22"/>
          <w:highlight w:val="cyan"/>
          <w:lang w:val="en-GB"/>
        </w:rPr>
        <w:t>identity card of the Vendor; and</w:t>
      </w:r>
      <w:commentRangeEnd w:id="22"/>
      <w:r>
        <w:rPr>
          <w:rStyle w:val="CommentReference"/>
        </w:rPr>
        <w:commentReference w:id="22"/>
      </w:r>
    </w:p>
    <w:p>
      <w:pPr>
        <w:pStyle w:val="Normal"/>
        <w:numPr>
          <w:ilvl w:val="0"/>
          <w:numId w:val="11"/>
        </w:numPr>
        <w:tabs>
          <w:tab w:val="clear" w:pos="720"/>
          <w:tab w:val="left" w:pos="1418" w:leader="none"/>
        </w:tabs>
        <w:ind w:hanging="284" w:start="1418" w:end="0"/>
        <w:jc w:val="both"/>
        <w:rPr>
          <w:rFonts w:ascii="Arial" w:hAnsi="Arial" w:cs="Arial"/>
          <w:sz w:val="22"/>
          <w:szCs w:val="22"/>
        </w:rPr>
      </w:pPr>
      <w:r>
        <w:rPr>
          <w:rFonts w:eastAsia="Arial" w:cs="Arial" w:ascii="Arial" w:hAnsi="Arial"/>
          <w:sz w:val="22"/>
          <w:szCs w:val="22"/>
          <w:lang w:val="en-GB"/>
        </w:rPr>
        <w:t xml:space="preserve"> </w:t>
      </w:r>
      <w:commentRangeStart w:id="21"/>
      <w:r>
        <w:rPr>
          <w:rFonts w:cs="Arial" w:ascii="Arial" w:hAnsi="Arial"/>
          <w:sz w:val="22"/>
          <w:szCs w:val="22"/>
          <w:highlight w:val="yellow"/>
          <w:lang w:val="en-GB"/>
        </w:rPr>
        <w:t>A copy of the Letter of Offer from the bank institution of the loan approval to   finance the said Property from the Vendor.</w:t>
      </w:r>
      <w:commentRangeEnd w:id="21"/>
      <w:r>
        <w:rPr>
          <w:rStyle w:val="CommentReference"/>
        </w:rPr>
        <w:commentReference w:id="21"/>
      </w:r>
    </w:p>
    <w:p>
      <w:pPr>
        <w:pStyle w:val="Normal"/>
        <w:ind w:hanging="360" w:start="360" w:end="0"/>
        <w:jc w:val="both"/>
        <w:rPr>
          <w:rFonts w:ascii="Arial" w:hAnsi="Arial" w:cs="Arial"/>
          <w:b/>
          <w:bCs/>
          <w:sz w:val="28"/>
          <w:szCs w:val="28"/>
        </w:rPr>
      </w:pPr>
      <w:r>
        <w:rPr>
          <w:rFonts w:cs="Arial" w:ascii="Arial" w:hAnsi="Arial"/>
          <w:b/>
          <w:bCs/>
          <w:sz w:val="28"/>
          <w:szCs w:val="28"/>
        </w:rPr>
      </w:r>
    </w:p>
    <w:p>
      <w:pPr>
        <w:pStyle w:val="Normal"/>
        <w:ind w:hanging="360" w:start="360" w:end="0"/>
        <w:jc w:val="both"/>
        <w:rPr>
          <w:rFonts w:ascii="Arial" w:hAnsi="Arial" w:cs="Arial"/>
          <w:b/>
          <w:bCs/>
        </w:rPr>
      </w:pPr>
      <w:r>
        <w:rPr>
          <w:rFonts w:cs="Arial" w:ascii="Arial" w:hAnsi="Arial"/>
          <w:b/>
          <w:bCs/>
          <w:sz w:val="28"/>
          <w:szCs w:val="28"/>
        </w:rPr>
        <w:t>3.</w:t>
        <w:tab/>
      </w:r>
      <w:r>
        <w:rPr>
          <w:rFonts w:cs="Arial" w:ascii="Arial" w:hAnsi="Arial"/>
          <w:b/>
          <w:bCs/>
          <w:u w:val="single"/>
        </w:rPr>
        <w:t>PAYMENT OF BALANCE OF PURCHASE PRICE</w:t>
      </w:r>
    </w:p>
    <w:p>
      <w:pPr>
        <w:pStyle w:val="Normal"/>
        <w:ind w:hanging="360" w:start="360" w:end="0"/>
        <w:jc w:val="both"/>
        <w:rPr>
          <w:rFonts w:ascii="Arial" w:hAnsi="Arial" w:cs="Arial"/>
          <w:b/>
          <w:bCs/>
        </w:rPr>
      </w:pPr>
      <w:r>
        <w:rPr>
          <w:rFonts w:cs="Arial" w:ascii="Arial" w:hAnsi="Arial"/>
          <w:b/>
          <w:bCs/>
        </w:rPr>
      </w:r>
    </w:p>
    <w:p>
      <w:pPr>
        <w:pStyle w:val="Normal"/>
        <w:ind w:hanging="720" w:start="1080" w:end="0"/>
        <w:jc w:val="both"/>
        <w:rPr/>
      </w:pPr>
      <w:commentRangeStart w:id="23"/>
      <w:r>
        <w:rPr>
          <w:rFonts w:cs="Arial" w:ascii="Arial" w:hAnsi="Arial"/>
          <w:highlight w:val="cyan"/>
        </w:rPr>
        <w:t>3.1</w:t>
        <w:tab/>
        <w:t xml:space="preserve">Subject to Clause 11 and the several terms and conditions stated in the Third Schedule herein, if any, pertaining to the payment of the Purchase Price, the balance of the Purchase Price shall be paid by the Purchaser to the Vendor’s Solicitors as Stakeholders in the manner and within the time stipulated and set out in Section III of the Second Schedule hereto. </w:t>
      </w:r>
      <w:commentRangeEnd w:id="23"/>
      <w:r>
        <w:rPr>
          <w:rStyle w:val="CommentReference"/>
        </w:rPr>
        <w:commentReference w:id="23"/>
      </w:r>
    </w:p>
    <w:p>
      <w:pPr>
        <w:pStyle w:val="Normal"/>
        <w:ind w:hanging="720" w:start="1080" w:end="0"/>
        <w:jc w:val="both"/>
        <w:rPr>
          <w:rFonts w:ascii="Arial" w:hAnsi="Arial" w:cs="Arial"/>
        </w:rPr>
      </w:pPr>
      <w:r>
        <w:rPr>
          <w:rFonts w:cs="Arial" w:ascii="Arial" w:hAnsi="Arial"/>
        </w:rPr>
      </w:r>
    </w:p>
    <w:p>
      <w:pPr>
        <w:pStyle w:val="Normal"/>
        <w:ind w:hanging="720" w:start="1080" w:end="0"/>
        <w:jc w:val="both"/>
        <w:rPr/>
      </w:pPr>
      <w:r>
        <w:rPr>
          <w:rFonts w:cs="Arial" w:ascii="Arial" w:hAnsi="Arial"/>
        </w:rPr>
        <w:t>3.2</w:t>
        <w:tab/>
        <w:t>PROVIDED ALWAYS it is hereby agreed that in the event that the Purchaser is desirous to obtain a loan from any Bank or Financial Institution (hereinafter referred to as “</w:t>
      </w:r>
      <w:r>
        <w:rPr>
          <w:rFonts w:cs="Arial" w:ascii="Arial" w:hAnsi="Arial"/>
          <w:b/>
          <w:bCs/>
        </w:rPr>
        <w:t>the Financier</w:t>
      </w:r>
      <w:r>
        <w:rPr>
          <w:rFonts w:cs="Arial" w:ascii="Arial" w:hAnsi="Arial"/>
        </w:rPr>
        <w:t xml:space="preserve">”) to assist them to complete the purchase of the said Property, the Purchaser shall on or before the Completion Date referred to in Sub-Clause (a) of Section III of the Second Schedule herein: - </w:t>
      </w:r>
    </w:p>
    <w:p>
      <w:pPr>
        <w:pStyle w:val="Normal"/>
        <w:rPr>
          <w:rFonts w:ascii="Arial" w:hAnsi="Arial" w:cs="Arial"/>
        </w:rPr>
      </w:pPr>
      <w:r>
        <w:rPr>
          <w:rFonts w:cs="Arial" w:ascii="Arial" w:hAnsi="Arial"/>
        </w:rPr>
      </w:r>
    </w:p>
    <w:p>
      <w:pPr>
        <w:pStyle w:val="BodyTextIndent"/>
        <w:rPr/>
      </w:pPr>
      <w:commentRangeStart w:id="20"/>
      <w:r>
        <w:rPr>
          <w:rFonts w:cs="Arial" w:ascii="Arial" w:hAnsi="Arial"/>
          <w:sz w:val="24"/>
          <w:highlight w:val="yellow"/>
        </w:rPr>
        <w:t>a)</w:t>
        <w:tab/>
        <w:t xml:space="preserve">deposit or cause to deposit with the </w:t>
      </w:r>
      <w:r>
        <w:rPr>
          <w:rFonts w:cs="Arial" w:ascii="Arial" w:hAnsi="Arial"/>
          <w:sz w:val="24"/>
          <w:highlight w:val="yellow"/>
          <w:lang w:val="en-MY"/>
        </w:rPr>
        <w:t>Vendor</w:t>
      </w:r>
      <w:r>
        <w:rPr>
          <w:rFonts w:cs="Arial" w:ascii="Arial" w:hAnsi="Arial"/>
          <w:sz w:val="24"/>
          <w:highlight w:val="yellow"/>
        </w:rPr>
        <w:t xml:space="preserve">’s Solicitors as Stakeholders the difference between the Purchase Price and the said loan within fourteen (14) days from the date the Consent to Transfer is obtained by the Purchaser’s Solicitor or before the Completion Date, whichever is earlier.; and </w:t>
      </w:r>
      <w:commentRangeEnd w:id="20"/>
      <w:r>
        <w:rPr>
          <w:rStyle w:val="CommentReference"/>
        </w:rPr>
        <w:commentReference w:id="20"/>
      </w:r>
    </w:p>
    <w:p>
      <w:pPr>
        <w:pStyle w:val="Normal"/>
        <w:ind w:hanging="360" w:start="1800" w:end="0"/>
        <w:jc w:val="both"/>
        <w:rPr>
          <w:rFonts w:ascii="Arial" w:hAnsi="Arial" w:cs="Arial"/>
          <w:sz w:val="24"/>
        </w:rPr>
      </w:pPr>
      <w:r>
        <w:rPr>
          <w:rFonts w:cs="Arial" w:ascii="Arial" w:hAnsi="Arial"/>
          <w:sz w:val="24"/>
        </w:rPr>
      </w:r>
    </w:p>
    <w:p>
      <w:pPr>
        <w:pStyle w:val="BodyTextIndent"/>
        <w:rPr/>
      </w:pPr>
      <w:r>
        <w:rPr>
          <w:rFonts w:cs="Arial" w:ascii="Arial" w:hAnsi="Arial"/>
          <w:sz w:val="24"/>
        </w:rPr>
        <w:t>b)</w:t>
        <w:tab/>
        <w:t xml:space="preserve">ensure that the said loan shall be released by the Financier to the </w:t>
      </w:r>
      <w:r>
        <w:rPr>
          <w:rFonts w:cs="Arial" w:ascii="Arial" w:hAnsi="Arial"/>
          <w:sz w:val="24"/>
          <w:lang w:val="en-MY"/>
        </w:rPr>
        <w:t>Vendor</w:t>
      </w:r>
      <w:r>
        <w:rPr>
          <w:rFonts w:cs="Arial" w:ascii="Arial" w:hAnsi="Arial"/>
          <w:sz w:val="24"/>
        </w:rPr>
        <w:t xml:space="preserve">’s Solicitors as Stakeholders in accordance with the terms and conditions hereinafter stipulated for their onwards transmission to the Vendor; and </w:t>
      </w:r>
    </w:p>
    <w:p>
      <w:pPr>
        <w:pStyle w:val="BodyTextIndent"/>
        <w:rPr>
          <w:rFonts w:ascii="Arial" w:hAnsi="Arial" w:cs="Arial"/>
          <w:sz w:val="24"/>
        </w:rPr>
      </w:pPr>
      <w:r>
        <w:rPr>
          <w:rFonts w:cs="Arial" w:ascii="Arial" w:hAnsi="Arial"/>
          <w:sz w:val="24"/>
        </w:rPr>
      </w:r>
    </w:p>
    <w:p>
      <w:pPr>
        <w:pStyle w:val="BodyTextIndent"/>
        <w:rPr>
          <w:rFonts w:ascii="Arial" w:hAnsi="Arial" w:cs="Arial"/>
          <w:sz w:val="24"/>
        </w:rPr>
      </w:pPr>
      <w:r>
        <w:rPr>
          <w:rFonts w:cs="Arial" w:ascii="Arial" w:hAnsi="Arial"/>
          <w:sz w:val="24"/>
        </w:rPr>
        <w:t>c)</w:t>
        <w:tab/>
        <w:t xml:space="preserve">the monies paid to the </w:t>
      </w:r>
      <w:r>
        <w:rPr>
          <w:rFonts w:cs="Arial" w:ascii="Arial" w:hAnsi="Arial"/>
          <w:sz w:val="24"/>
          <w:lang w:val="en-MY"/>
        </w:rPr>
        <w:t>Vendor</w:t>
      </w:r>
      <w:r>
        <w:rPr>
          <w:rFonts w:cs="Arial" w:ascii="Arial" w:hAnsi="Arial"/>
          <w:sz w:val="24"/>
        </w:rPr>
        <w:t xml:space="preserve">’s Solicitors as Stakeholders shall be deemed to be payment made to the Vendor. </w:t>
      </w:r>
    </w:p>
    <w:p>
      <w:pPr>
        <w:pStyle w:val="Normal"/>
        <w:ind w:hanging="720" w:start="1080" w:end="0"/>
        <w:jc w:val="both"/>
        <w:rPr>
          <w:rFonts w:ascii="Arial" w:hAnsi="Arial" w:cs="Arial"/>
          <w:sz w:val="24"/>
        </w:rPr>
      </w:pPr>
      <w:r>
        <w:rPr>
          <w:rFonts w:cs="Arial" w:ascii="Arial" w:hAnsi="Arial"/>
          <w:sz w:val="24"/>
        </w:rPr>
      </w:r>
    </w:p>
    <w:p>
      <w:pPr>
        <w:pStyle w:val="Normal"/>
        <w:ind w:hanging="720" w:start="1080" w:end="0"/>
        <w:jc w:val="both"/>
        <w:rPr/>
      </w:pPr>
      <w:r>
        <w:rPr>
          <w:rFonts w:cs="Arial" w:ascii="Arial" w:hAnsi="Arial"/>
        </w:rPr>
        <w:t>3.3</w:t>
        <w:tab/>
        <w:t xml:space="preserve">If the Financier shall require the Vendor to give an undertaking to refund the Purchaser’s loan in the event that the registration of the Transfer of the said Property in the name of the Purchaser is not registered resulting in the non-registration of the Charge for any reason whatsoever, the Vendor shall forthwith sign and deliver to the Financier or the Purchaser’s Financier’s Solicitors such an undertaking within seven (7) working days from the date of receipt by the Vendor’s Solicitors of the written request by the Purchaser’s Solicitors or the Purchaser’s Financier’s Solicitors. </w:t>
      </w:r>
    </w:p>
    <w:p>
      <w:pPr>
        <w:pStyle w:val="Normal"/>
        <w:ind w:hanging="720" w:start="1080" w:end="0"/>
        <w:jc w:val="both"/>
        <w:rPr>
          <w:rFonts w:ascii="Arial" w:hAnsi="Arial" w:cs="Arial"/>
        </w:rPr>
      </w:pPr>
      <w:r>
        <w:rPr>
          <w:rFonts w:cs="Arial" w:ascii="Arial" w:hAnsi="Arial"/>
        </w:rPr>
      </w:r>
    </w:p>
    <w:p>
      <w:pPr>
        <w:pStyle w:val="Normal"/>
        <w:ind w:hanging="720" w:start="1080" w:end="0"/>
        <w:jc w:val="both"/>
        <w:rPr/>
      </w:pPr>
      <w:commentRangeStart w:id="19"/>
      <w:r>
        <w:rPr>
          <w:rFonts w:cs="Arial" w:ascii="Arial" w:hAnsi="Arial"/>
          <w:highlight w:val="yellow"/>
        </w:rPr>
        <w:t>3.4</w:t>
        <w:tab/>
        <w:t xml:space="preserve">The parties hereto hereby authorize the Vendor’s Solicitors to release the balance of the Purchase Price to the Vendor within five (5) working days from the presentation of the Transfer and Charge at the relevant land authority or upon disbursement by the Purchaser’s Financier, subject to Clause 13 contained herein. </w:t>
      </w:r>
      <w:commentRangeEnd w:id="19"/>
      <w:r>
        <w:rPr>
          <w:rStyle w:val="CommentReference"/>
        </w:rPr>
        <w:commentReference w:id="19"/>
      </w:r>
    </w:p>
    <w:p>
      <w:pPr>
        <w:pStyle w:val="Normal"/>
        <w:ind w:hanging="720" w:start="1080" w:end="0"/>
        <w:jc w:val="both"/>
        <w:rPr>
          <w:rFonts w:ascii="Arial" w:hAnsi="Arial" w:cs="Arial"/>
        </w:rPr>
      </w:pPr>
      <w:r>
        <w:rPr>
          <w:rFonts w:cs="Arial" w:ascii="Arial" w:hAnsi="Arial"/>
        </w:rPr>
      </w:r>
    </w:p>
    <w:p>
      <w:pPr>
        <w:pStyle w:val="Normal"/>
        <w:ind w:hanging="284" w:start="284" w:end="0"/>
        <w:jc w:val="both"/>
        <w:rPr>
          <w:rFonts w:ascii="Arial" w:hAnsi="Arial" w:cs="Arial"/>
        </w:rPr>
      </w:pPr>
      <w:r>
        <w:rPr>
          <w:rFonts w:cs="Arial" w:ascii="Arial" w:hAnsi="Arial"/>
          <w:b/>
          <w:bCs/>
        </w:rPr>
        <w:t>4.</w:t>
        <w:tab/>
      </w:r>
      <w:r>
        <w:rPr>
          <w:rFonts w:cs="Arial" w:ascii="Arial" w:hAnsi="Arial"/>
          <w:b/>
          <w:bCs/>
          <w:u w:val="single"/>
        </w:rPr>
        <w:t>EXECUTION OF DOCUMENTS FOR EFFECTING TRANSFER</w:t>
      </w:r>
    </w:p>
    <w:p>
      <w:pPr>
        <w:pStyle w:val="Normal"/>
        <w:ind w:hanging="360" w:start="360" w:end="0"/>
        <w:jc w:val="both"/>
        <w:rPr>
          <w:rFonts w:ascii="Arial" w:hAnsi="Arial" w:cs="Arial"/>
        </w:rPr>
      </w:pPr>
      <w:r>
        <w:rPr>
          <w:rFonts w:cs="Arial" w:ascii="Arial" w:hAnsi="Arial"/>
        </w:rPr>
      </w:r>
    </w:p>
    <w:p>
      <w:pPr>
        <w:pStyle w:val="Normal"/>
        <w:ind w:hanging="360" w:start="360" w:end="0"/>
        <w:jc w:val="both"/>
        <w:rPr/>
      </w:pPr>
      <w:r>
        <w:rPr>
          <w:rFonts w:cs="Arial" w:ascii="Arial" w:hAnsi="Arial"/>
        </w:rPr>
        <w:tab/>
        <w:t xml:space="preserve">Simultaneously with the execution of this Agreement, the Vendor shall execute a valid and registrable Memorandum of Transfer of the said Property in favour of the Purchaser free from all charges and encumbrances but subject to the conditions express or implied in the Strata Title to the said Property and deliver the same to the Purchaser’s Solicitors who shall forward the same for adjudication only and to be presented to the relevant land authority for registration only when the Purchaser has paid the full Purchase Price to the Vendor’s Solicitors as Stakeholders pursuant to the terms herein OR the Purchaser has made the necessary arrangements with the Financier to pay for the balance of the Purchase Price in that the Financier has issued a letter of undertaking to release the loan towards settlement of the balance Purchase Price and the difference between the Purchase Price and the loan amount has been received by the Vendor’s Solicitors as Stakeholders. </w:t>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rPr>
      </w:pPr>
      <w:r>
        <w:rPr>
          <w:rFonts w:cs="Arial" w:ascii="Arial" w:hAnsi="Arial"/>
        </w:rPr>
      </w:r>
    </w:p>
    <w:p>
      <w:pPr>
        <w:pStyle w:val="Normal"/>
        <w:spacing w:lineRule="auto" w:line="276"/>
        <w:jc w:val="both"/>
        <w:rPr/>
      </w:pPr>
      <w:r>
        <w:rPr>
          <w:rFonts w:cs="Arial" w:ascii="Arial" w:hAnsi="Arial"/>
          <w:b/>
          <w:bCs/>
        </w:rPr>
        <w:t xml:space="preserve">5. </w:t>
      </w:r>
      <w:r>
        <w:rPr>
          <w:rFonts w:cs="Arial" w:ascii="Arial" w:hAnsi="Arial"/>
          <w:b/>
          <w:bCs/>
          <w:u w:val="single"/>
        </w:rPr>
        <w:t>CONDITION</w:t>
      </w:r>
      <w:r>
        <w:rPr>
          <w:rFonts w:cs="Arial" w:ascii="Arial" w:hAnsi="Arial"/>
          <w:b/>
          <w:u w:val="single"/>
        </w:rPr>
        <w:t xml:space="preserve"> PRECEDENT</w:t>
      </w:r>
    </w:p>
    <w:p>
      <w:pPr>
        <w:pStyle w:val="Normal"/>
        <w:spacing w:lineRule="auto" w:line="276"/>
        <w:jc w:val="both"/>
        <w:rPr>
          <w:rFonts w:ascii="Arial" w:hAnsi="Arial" w:cs="Arial"/>
          <w:b/>
          <w:u w:val="single"/>
        </w:rPr>
      </w:pPr>
      <w:r>
        <w:rPr>
          <w:rFonts w:cs="Arial" w:ascii="Arial" w:hAnsi="Arial"/>
          <w:b/>
          <w:u w:val="single"/>
        </w:rPr>
      </w:r>
    </w:p>
    <w:p>
      <w:pPr>
        <w:pStyle w:val="Normal"/>
        <w:tabs>
          <w:tab w:val="clear" w:pos="720"/>
          <w:tab w:val="left" w:pos="284" w:leader="none"/>
        </w:tabs>
        <w:spacing w:lineRule="auto" w:line="276"/>
        <w:ind w:hanging="720" w:start="720" w:end="0"/>
        <w:jc w:val="both"/>
        <w:rPr/>
      </w:pPr>
      <w:r>
        <w:rPr>
          <w:rFonts w:cs="Arial" w:ascii="Arial" w:hAnsi="Arial"/>
        </w:rPr>
        <w:tab/>
        <w:t>5.1</w:t>
        <w:tab/>
        <w:t xml:space="preserve">The Parties hereto hereby expressly agree that this Agreement is subject to the following:- </w:t>
      </w:r>
    </w:p>
    <w:p>
      <w:pPr>
        <w:pStyle w:val="Normal"/>
        <w:tabs>
          <w:tab w:val="left" w:pos="720" w:leader="none"/>
        </w:tabs>
        <w:spacing w:lineRule="auto" w:line="276"/>
        <w:ind w:hanging="720" w:start="720" w:end="0"/>
        <w:jc w:val="both"/>
        <w:rPr>
          <w:rFonts w:ascii="Arial" w:hAnsi="Arial" w:cs="Arial"/>
        </w:rPr>
      </w:pPr>
      <w:r>
        <w:rPr>
          <w:rFonts w:cs="Arial" w:ascii="Arial" w:hAnsi="Arial"/>
        </w:rPr>
      </w:r>
    </w:p>
    <w:p>
      <w:pPr>
        <w:pStyle w:val="Normal"/>
        <w:ind w:hanging="720" w:start="1440" w:end="0"/>
        <w:jc w:val="both"/>
        <w:rPr/>
      </w:pPr>
      <w:commentRangeStart w:id="25"/>
      <w:r>
        <w:rPr>
          <w:rFonts w:cs="Arial" w:ascii="Arial" w:hAnsi="Arial"/>
          <w:highlight w:val="cyan"/>
        </w:rPr>
        <w:t>(a)</w:t>
        <w:tab/>
        <w:t>the Vendor, at his own cost and expense, obtaining the Developer’s or the Proprietor’s consent for a direct transfer to execute the valid and registrable Purchaser’s in favour of the Purchaser and all other necessary documents to effect the transfer of the said Property directly in favour of the Purchaser are delivered to the Purchaser’s Solicitors AND obtaining the Consent from the relevant State Authority within  one hundred and twenty (120)  days from the date of this Agreement; OR</w:t>
      </w:r>
      <w:commentRangeEnd w:id="25"/>
      <w:r>
        <w:rPr>
          <w:rStyle w:val="CommentReference"/>
        </w:rPr>
        <w:commentReference w:id="25"/>
      </w:r>
    </w:p>
    <w:p>
      <w:pPr>
        <w:pStyle w:val="Normal"/>
        <w:spacing w:lineRule="auto" w:line="276"/>
        <w:ind w:hanging="720" w:start="1440" w:end="0"/>
        <w:jc w:val="both"/>
        <w:rPr>
          <w:rFonts w:ascii="Arial" w:hAnsi="Arial" w:cs="Arial"/>
        </w:rPr>
      </w:pPr>
      <w:r>
        <w:rPr>
          <w:rFonts w:cs="Arial" w:ascii="Arial" w:hAnsi="Arial"/>
        </w:rPr>
      </w:r>
    </w:p>
    <w:p>
      <w:pPr>
        <w:pStyle w:val="Normal"/>
        <w:ind w:hanging="709" w:start="1418" w:end="0"/>
        <w:jc w:val="both"/>
        <w:rPr>
          <w:rFonts w:ascii="Arial" w:hAnsi="Arial" w:cs="Arial"/>
        </w:rPr>
      </w:pPr>
      <w:commentRangeStart w:id="6"/>
      <w:r>
        <w:rPr>
          <w:rFonts w:cs="Arial" w:ascii="Arial" w:hAnsi="Arial"/>
          <w:highlight w:val="red"/>
        </w:rPr>
        <w:t>(b)</w:t>
        <w:tab/>
        <w:t xml:space="preserve">In the event the Developer or the Proprietor is not agreeable for a direct transfer in favour of the Purchaser, the Vendor shall proceed to effect the transfer in his favour and obtain the duly registered Strata Title AND obtaining the Consent from the relevant State Authority to transfer from the Vendor to the Purchaser within  one hundred and twenty (120) days from the date of the Vendor’s Solicitors receipt of the Developer’s or the Proprietor’s letter of confirmation that the direct transfer is not allowed. Vendor’s Solicitor shall notify the Purchaser’s Solicitor on the Developer or Proprietor refusal within five (5) days of the said refusal for their safekeeping. </w:t>
      </w:r>
      <w:commentRangeEnd w:id="6"/>
      <w:r>
        <w:rPr>
          <w:rStyle w:val="CommentReference"/>
        </w:rPr>
        <w:commentReference w:id="6"/>
      </w:r>
    </w:p>
    <w:p>
      <w:pPr>
        <w:pStyle w:val="Normal"/>
        <w:spacing w:lineRule="auto" w:line="276"/>
        <w:ind w:hanging="720" w:start="1440" w:end="0"/>
        <w:jc w:val="both"/>
        <w:rPr>
          <w:rFonts w:ascii="Arial" w:hAnsi="Arial" w:cs="Arial"/>
        </w:rPr>
      </w:pPr>
      <w:r>
        <w:rPr>
          <w:rFonts w:cs="Arial" w:ascii="Arial" w:hAnsi="Arial"/>
        </w:rPr>
      </w:r>
    </w:p>
    <w:p>
      <w:pPr>
        <w:pStyle w:val="Normal"/>
        <w:tabs>
          <w:tab w:val="clear" w:pos="720"/>
          <w:tab w:val="left" w:pos="1418" w:leader="none"/>
        </w:tabs>
        <w:ind w:hanging="1134" w:start="1418" w:end="0"/>
        <w:jc w:val="both"/>
        <w:rPr/>
      </w:pPr>
      <w:r>
        <w:rPr>
          <w:rFonts w:cs="Arial" w:ascii="Arial" w:hAnsi="Arial"/>
        </w:rPr>
        <w:t>5.2</w:t>
        <w:tab/>
        <w:t>The Vendor shall, upon the execution of this Agreement, at his own costs proceed diligently to comply with and/or cause the compliance of Clause 5.1 contain herein and forward a copy of such request for the Developer’s or the Proprietor’s consent to the Purchaser’s Solicitors for their record purpose (hereinafter referred to as “the Conditions Precedent”).</w:t>
      </w:r>
    </w:p>
    <w:p>
      <w:pPr>
        <w:pStyle w:val="Normal"/>
        <w:tabs>
          <w:tab w:val="clear" w:pos="720"/>
          <w:tab w:val="left" w:pos="1418" w:leader="none"/>
        </w:tabs>
        <w:ind w:hanging="709" w:start="1418" w:end="0"/>
        <w:jc w:val="both"/>
        <w:rPr>
          <w:rFonts w:ascii="Arial" w:hAnsi="Arial" w:cs="Arial"/>
        </w:rPr>
      </w:pPr>
      <w:r>
        <w:rPr>
          <w:rFonts w:cs="Arial" w:ascii="Arial" w:hAnsi="Arial"/>
        </w:rPr>
      </w:r>
    </w:p>
    <w:p>
      <w:pPr>
        <w:pStyle w:val="Normal"/>
        <w:tabs>
          <w:tab w:val="clear" w:pos="720"/>
          <w:tab w:val="left" w:pos="1418" w:leader="none"/>
        </w:tabs>
        <w:ind w:hanging="1134" w:start="1418" w:end="0"/>
        <w:jc w:val="both"/>
        <w:rPr/>
      </w:pPr>
      <w:commentRangeStart w:id="5"/>
      <w:r>
        <w:rPr>
          <w:rFonts w:cs="Arial" w:ascii="Arial" w:hAnsi="Arial"/>
          <w:highlight w:val="red"/>
        </w:rPr>
        <w:t>5.3</w:t>
        <w:tab/>
        <w:t>The Parties hereto agree that if the Conditions Precedent cannot be fulfilled within the time stipulated therein or such other extended period of time that the Purchaser may agree, then EITHER party shall be entitled to elect to forthwith terminate this Agreement whereupon the Vendor shall refund the Deposit Sum together with all monies (if any) paid by the Purchaser to the Vendor towards the Purchase Price free of interest within  fourteen (14) working days from the date of the Purchaser’s or the Purchaser’s Solicitors’ notice of termination in writing :-</w:t>
      </w:r>
      <w:commentRangeEnd w:id="5"/>
      <w:r>
        <w:rPr>
          <w:rStyle w:val="CommentReference"/>
        </w:rPr>
        <w:commentReference w:id="5"/>
      </w:r>
    </w:p>
    <w:p>
      <w:pPr>
        <w:pStyle w:val="Normal"/>
        <w:tabs>
          <w:tab w:val="left" w:pos="720" w:leader="none"/>
        </w:tabs>
        <w:spacing w:lineRule="auto" w:line="276"/>
        <w:ind w:hanging="720" w:start="720" w:end="0"/>
        <w:jc w:val="both"/>
        <w:rPr>
          <w:rFonts w:ascii="Arial" w:hAnsi="Arial" w:cs="Arial"/>
        </w:rPr>
      </w:pPr>
      <w:r>
        <w:rPr>
          <w:rFonts w:cs="Arial" w:ascii="Arial" w:hAnsi="Arial"/>
        </w:rPr>
      </w:r>
    </w:p>
    <w:p>
      <w:pPr>
        <w:pStyle w:val="Normal"/>
        <w:widowControl w:val="false"/>
        <w:numPr>
          <w:ilvl w:val="0"/>
          <w:numId w:val="4"/>
        </w:numPr>
        <w:autoSpaceDE w:val="false"/>
        <w:ind w:hanging="709" w:start="2127" w:end="0"/>
        <w:jc w:val="both"/>
        <w:rPr>
          <w:rFonts w:ascii="Arial" w:hAnsi="Arial" w:cs="Arial"/>
        </w:rPr>
      </w:pPr>
      <w:r>
        <w:rPr>
          <w:rFonts w:cs="Arial" w:ascii="Arial" w:hAnsi="Arial"/>
        </w:rPr>
        <w:t>in exchange of all the documents that have been forwarded by the Vendor to the Purchaser’s Solicitors and/or the solicitors for the Financier with the Vendor’s interest intact and unencumbered (if the Purchaser’s Transfer has been duly stamped, the Purchaser shall has the right to first apply to the Collector of Stamp Duty for a refund of the stamp duty paid on the Purchaser’s Transfer before returning the cancelled Purchaser’s Transfer to the Vendor); and</w:t>
      </w:r>
    </w:p>
    <w:p>
      <w:pPr>
        <w:pStyle w:val="Normal"/>
        <w:widowControl w:val="false"/>
        <w:autoSpaceDE w:val="false"/>
        <w:spacing w:lineRule="auto" w:line="276"/>
        <w:ind w:start="2127" w:end="0"/>
        <w:jc w:val="both"/>
        <w:rPr>
          <w:rFonts w:ascii="Arial" w:hAnsi="Arial" w:cs="Arial"/>
        </w:rPr>
      </w:pPr>
      <w:r>
        <w:rPr>
          <w:rFonts w:cs="Arial" w:ascii="Arial" w:hAnsi="Arial"/>
        </w:rPr>
      </w:r>
    </w:p>
    <w:p>
      <w:pPr>
        <w:pStyle w:val="Normal"/>
        <w:widowControl w:val="false"/>
        <w:autoSpaceDE w:val="false"/>
        <w:ind w:hanging="0" w:start="2127" w:end="0"/>
        <w:jc w:val="both"/>
        <w:rPr/>
      </w:pPr>
      <w:r>
        <w:rPr>
          <w:rFonts w:cs="Arial" w:ascii="Arial" w:hAnsi="Arial"/>
        </w:rPr>
        <w:t xml:space="preserve">redeliver vacant possession of the said Property to the Vendor (if the same has been delivered) and to withdraw or caused to withdraw the private caveats lodged by the Purchaser or the Purchaser’s Financier to the said Property and thereafter this Agreement shall cease to have any effect and neither party hereto shall have any further right against the other in any respect of or in matter arising out of this Agreement save and except for any antecedent breach. In the event that the Vendor fails neglects oromits to refund the Deposit Sum within the aforesaid period, the Vendor shall pay interest thereon at the rate of eight percent (8%) per annum calculated on the Deposit Sum together with all monies (if any) paid by the Purchasr to the Vendor towards the Purchase Price at daily rests commencing from the day next after expiry of the aforesaid  fourteen (14) days’ period failing which, all such moneys shall become payable immediately and subject to legal demand by the Purchaser. </w:t>
      </w:r>
    </w:p>
    <w:p>
      <w:pPr>
        <w:pStyle w:val="Normal"/>
        <w:tabs>
          <w:tab w:val="left" w:pos="720" w:leader="none"/>
        </w:tabs>
        <w:spacing w:lineRule="auto" w:line="276"/>
        <w:ind w:hanging="720" w:start="720" w:end="0"/>
        <w:jc w:val="both"/>
        <w:rPr>
          <w:rFonts w:ascii="Arial" w:hAnsi="Arial" w:cs="Arial"/>
        </w:rPr>
      </w:pPr>
      <w:r>
        <w:rPr>
          <w:rFonts w:cs="Arial" w:ascii="Arial" w:hAnsi="Arial"/>
        </w:rPr>
      </w:r>
    </w:p>
    <w:p>
      <w:pPr>
        <w:pStyle w:val="Normal"/>
        <w:tabs>
          <w:tab w:val="clear" w:pos="720"/>
          <w:tab w:val="left" w:pos="1418" w:leader="none"/>
        </w:tabs>
        <w:ind w:hanging="851" w:start="1418" w:end="0"/>
        <w:jc w:val="both"/>
        <w:rPr/>
      </w:pPr>
      <w:commentRangeStart w:id="24"/>
      <w:r>
        <w:rPr>
          <w:rFonts w:cs="Arial" w:ascii="Arial" w:hAnsi="Arial"/>
          <w:highlight w:val="yellow"/>
        </w:rPr>
        <w:t>5.4</w:t>
        <w:tab/>
        <w:t>If the Developer or the Proprietor requires the Vendor to settle any balance sum, administrative and/or outstanding maintenance charges or any other charges in relation to the Principal Sale Agreement as a condition in executing the Purchaser’s Transfer, the Vendor hereby undertakes and covenants with the Purchaser to settle the same within fourteen (14) days from the date of receipt by the Vendor’s Solicitors of the Developer’s request. In the event that the Developer requires the Purchaser to pay any security deposit and advance service charges as a condition in executing the Purchaser’s MOT, the Purchaser hereby undertakes and covenants with the Vendor to settle the same within fourteen (14) days from the date of receipt by the Purchaser’s Solicitors of such request.</w:t>
      </w:r>
      <w:commentRangeEnd w:id="24"/>
      <w:r>
        <w:rPr>
          <w:rStyle w:val="CommentReference"/>
        </w:rPr>
        <w:commentReference w:id="24"/>
      </w:r>
    </w:p>
    <w:p>
      <w:pPr>
        <w:pStyle w:val="Normal"/>
        <w:tabs>
          <w:tab w:val="clear" w:pos="720"/>
          <w:tab w:val="left" w:pos="1418" w:leader="none"/>
        </w:tabs>
        <w:spacing w:lineRule="auto" w:line="276"/>
        <w:ind w:hanging="851" w:start="1418" w:end="0"/>
        <w:jc w:val="both"/>
        <w:rPr>
          <w:rFonts w:ascii="Arial" w:hAnsi="Arial" w:cs="Arial"/>
        </w:rPr>
      </w:pPr>
      <w:r>
        <w:rPr>
          <w:rFonts w:cs="Arial" w:ascii="Arial" w:hAnsi="Arial"/>
        </w:rPr>
      </w:r>
    </w:p>
    <w:p>
      <w:pPr>
        <w:pStyle w:val="Normal"/>
        <w:tabs>
          <w:tab w:val="clear" w:pos="720"/>
          <w:tab w:val="left" w:pos="1418" w:leader="none"/>
        </w:tabs>
        <w:ind w:hanging="851" w:start="1418" w:end="0"/>
        <w:jc w:val="both"/>
        <w:rPr/>
      </w:pPr>
      <w:r>
        <w:rPr>
          <w:rFonts w:cs="Arial" w:ascii="Arial" w:hAnsi="Arial"/>
        </w:rPr>
        <w:t>5.5</w:t>
        <w:tab/>
        <w:t>This Agreement shall become unconditional (hereinafter called “</w:t>
      </w:r>
      <w:r>
        <w:rPr>
          <w:rFonts w:cs="Arial" w:ascii="Arial" w:hAnsi="Arial"/>
          <w:b/>
          <w:bCs/>
        </w:rPr>
        <w:t>the Unconditional Date</w:t>
      </w:r>
      <w:r>
        <w:rPr>
          <w:rFonts w:cs="Arial" w:ascii="Arial" w:hAnsi="Arial"/>
        </w:rPr>
        <w:t>”) upon the following:-</w:t>
      </w:r>
    </w:p>
    <w:p>
      <w:pPr>
        <w:pStyle w:val="Normal"/>
        <w:tabs>
          <w:tab w:val="left" w:pos="720" w:leader="none"/>
        </w:tabs>
        <w:spacing w:lineRule="auto" w:line="276"/>
        <w:ind w:hanging="720" w:start="720" w:end="0"/>
        <w:jc w:val="both"/>
        <w:rPr>
          <w:rFonts w:ascii="Arial" w:hAnsi="Arial" w:cs="Arial"/>
        </w:rPr>
      </w:pPr>
      <w:r>
        <w:rPr>
          <w:rFonts w:cs="Arial" w:ascii="Arial" w:hAnsi="Arial"/>
        </w:rPr>
      </w:r>
    </w:p>
    <w:p>
      <w:pPr>
        <w:pStyle w:val="Normal"/>
        <w:ind w:hanging="709" w:start="2127" w:end="0"/>
        <w:jc w:val="both"/>
        <w:rPr/>
      </w:pPr>
      <w:r>
        <w:rPr>
          <w:rFonts w:cs="Arial" w:ascii="Arial" w:hAnsi="Arial"/>
        </w:rPr>
        <w:t>(a)</w:t>
        <w:tab/>
        <w:t xml:space="preserve">the receipt by the Purchaser’s Solicitors of the Purchaser’s Transfer duly executed by the Developer or the Proprietor (whichever provided by the Developer),  CTC of the Consent from the relevant State Authority and all other necessary documents to effect the transfer of the said Property directly in favour of the Purchaser in the event that the Developer is agreeable for a direct transfer; OR </w:t>
      </w:r>
    </w:p>
    <w:p>
      <w:pPr>
        <w:pStyle w:val="Normal"/>
        <w:spacing w:lineRule="auto" w:line="276"/>
        <w:ind w:hanging="709" w:start="2127" w:end="0"/>
        <w:jc w:val="both"/>
        <w:rPr>
          <w:rFonts w:ascii="Arial" w:hAnsi="Arial" w:cs="Arial"/>
        </w:rPr>
      </w:pPr>
      <w:r>
        <w:rPr>
          <w:rFonts w:cs="Arial" w:ascii="Arial" w:hAnsi="Arial"/>
        </w:rPr>
      </w:r>
    </w:p>
    <w:p>
      <w:pPr>
        <w:pStyle w:val="Normal"/>
        <w:ind w:hanging="709" w:start="2127" w:end="0"/>
        <w:jc w:val="both"/>
        <w:rPr/>
      </w:pPr>
      <w:r>
        <w:rPr>
          <w:rFonts w:cs="Arial" w:ascii="Arial" w:hAnsi="Arial"/>
        </w:rPr>
        <w:t>(b)</w:t>
        <w:tab/>
        <w:t>the receipt by the Purchaser’s Solicitors of a certified true copy of the Strata Title being registered in the name of the Vendor and the  CTC of the consent from the relevant State Authority to transfer the said Property from the Vendor to the Purchaser in the event the Developer or the Proprietor is not agreeable to the direct transfer of the said Property from the Vendor to the Purchaser.</w:t>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b/>
          <w:bCs/>
        </w:rPr>
      </w:pPr>
      <w:r>
        <w:rPr>
          <w:rFonts w:cs="Arial" w:ascii="Arial" w:hAnsi="Arial"/>
          <w:b/>
          <w:bCs/>
        </w:rPr>
      </w:r>
    </w:p>
    <w:p>
      <w:pPr>
        <w:pStyle w:val="Normal"/>
        <w:ind w:hanging="360" w:start="360" w:end="0"/>
        <w:jc w:val="both"/>
        <w:rPr>
          <w:rFonts w:ascii="Arial" w:hAnsi="Arial" w:cs="Arial"/>
        </w:rPr>
      </w:pPr>
      <w:r>
        <w:rPr>
          <w:rFonts w:cs="Arial" w:ascii="Arial" w:hAnsi="Arial"/>
          <w:b/>
          <w:bCs/>
        </w:rPr>
        <w:t xml:space="preserve">6. </w:t>
        <w:tab/>
      </w:r>
      <w:r>
        <w:rPr>
          <w:rFonts w:cs="Arial" w:ascii="Arial" w:hAnsi="Arial"/>
          <w:b/>
          <w:bCs/>
          <w:u w:val="single"/>
        </w:rPr>
        <w:t xml:space="preserve">DEFAULT BY THE PURCHASER </w:t>
      </w:r>
    </w:p>
    <w:p>
      <w:pPr>
        <w:pStyle w:val="Normal"/>
        <w:jc w:val="both"/>
        <w:rPr>
          <w:rFonts w:ascii="Arial" w:hAnsi="Arial" w:cs="Arial"/>
        </w:rPr>
      </w:pPr>
      <w:r>
        <w:rPr>
          <w:rFonts w:cs="Arial" w:ascii="Arial" w:hAnsi="Arial"/>
        </w:rPr>
      </w:r>
    </w:p>
    <w:p>
      <w:pPr>
        <w:pStyle w:val="Normal"/>
        <w:ind w:hanging="360" w:start="360" w:end="0"/>
        <w:jc w:val="both"/>
        <w:rPr/>
      </w:pPr>
      <w:commentRangeStart w:id="0"/>
      <w:r>
        <w:rPr>
          <w:rFonts w:cs="Arial" w:ascii="Arial" w:hAnsi="Arial"/>
          <w:highlight w:val="red"/>
        </w:rPr>
        <w:tab/>
        <w:t xml:space="preserve">In the event of any breach by the Purchaser of any of the provisions of this Agreement, including without limitation to the Purchaser failing to pay the Balance of the Purchase Price to the Vendor within the Extended Completion Date referred to in Section III(b) of the Second Schedule, the Vendor shall be entitled to forthwith terminate this Agreement and to forfeit absolutely the Earnest Deposit already paid by the Purchaser and further be entitled to claim from the Purchaser the balance of the Deposit which remains unpaid as at the date of termination, such balance being deemed part of the agreed liquidated damages payable by the Purchaser to the Vendor. The Vendor shall be entitled to appropriate and apply any part payment of the Purchase Price therefore received from the Purchaser towards satisfaction of such unpaid balance of the Deposit , and the Vendor shall within fourteen  (14) working days from the notification of the termination by the Vendor refund free of interest to the Purchaser the sum, if any equivalent to the difference between the total aggregate of all part payments of the total Purchase Price already paid by the Purchaser to the date of such breach and the aggregate amount forfeitable and recoverable by the Vendor pursuant to this Clause failing which the Vendor shall pay to the Purchaser interest at the rate of 8% per annum calculated on daily basis until full settlement thereof. Simultaneously with such forfeiture and refund, the Purchaser shall: - </w:t>
      </w:r>
      <w:commentRangeEnd w:id="0"/>
      <w:r>
        <w:rPr>
          <w:rStyle w:val="CommentReference"/>
        </w:rPr>
        <w:commentReference w:id="0"/>
      </w:r>
    </w:p>
    <w:p>
      <w:pPr>
        <w:pStyle w:val="Normal"/>
        <w:ind w:hanging="360" w:start="360" w:end="0"/>
        <w:jc w:val="both"/>
        <w:rPr>
          <w:rFonts w:ascii="Arial" w:hAnsi="Arial" w:cs="Arial"/>
        </w:rPr>
      </w:pPr>
      <w:r>
        <w:rPr>
          <w:rFonts w:cs="Arial" w:ascii="Arial" w:hAnsi="Arial"/>
        </w:rPr>
      </w:r>
    </w:p>
    <w:p>
      <w:pPr>
        <w:pStyle w:val="Normal"/>
        <w:numPr>
          <w:ilvl w:val="0"/>
          <w:numId w:val="5"/>
        </w:numPr>
        <w:jc w:val="both"/>
        <w:rPr>
          <w:rFonts w:ascii="Arial" w:hAnsi="Arial" w:cs="Arial"/>
        </w:rPr>
      </w:pPr>
      <w:bookmarkStart w:id="4" w:name="_Hlk15481854"/>
      <w:bookmarkEnd w:id="4"/>
      <w:r>
        <w:rPr>
          <w:rFonts w:cs="Arial" w:ascii="Arial" w:hAnsi="Arial"/>
        </w:rPr>
        <w:t xml:space="preserve">withdraw the private caveat lodged by the Purchaser and/or the Purchaser’s Financier (if any) against the said Property; </w:t>
      </w:r>
    </w:p>
    <w:p>
      <w:pPr>
        <w:pStyle w:val="Normal"/>
        <w:ind w:start="720" w:end="0"/>
        <w:jc w:val="both"/>
        <w:rPr>
          <w:rFonts w:ascii="Arial" w:hAnsi="Arial" w:cs="Arial"/>
        </w:rPr>
      </w:pPr>
      <w:r>
        <w:rPr>
          <w:rFonts w:cs="Arial" w:ascii="Arial" w:hAnsi="Arial"/>
        </w:rPr>
      </w:r>
    </w:p>
    <w:p>
      <w:pPr>
        <w:pStyle w:val="Normal"/>
        <w:numPr>
          <w:ilvl w:val="0"/>
          <w:numId w:val="5"/>
        </w:numPr>
        <w:jc w:val="both"/>
        <w:rPr>
          <w:rFonts w:ascii="Arial" w:hAnsi="Arial" w:cs="Arial"/>
        </w:rPr>
      </w:pPr>
      <w:r>
        <w:rPr>
          <w:rFonts w:cs="Arial" w:ascii="Arial" w:hAnsi="Arial"/>
        </w:rPr>
        <w:t xml:space="preserve">re-deliver vacant possession of the said Property (if vacant possession has been delivered earlier to the Purchaser) with fair wear and tear expected; and </w:t>
      </w:r>
    </w:p>
    <w:p>
      <w:pPr>
        <w:pStyle w:val="ListParagraph"/>
        <w:rPr>
          <w:rFonts w:ascii="Arial" w:hAnsi="Arial" w:cs="Arial"/>
        </w:rPr>
      </w:pPr>
      <w:r>
        <w:rPr>
          <w:rFonts w:cs="Arial" w:ascii="Arial" w:hAnsi="Arial"/>
        </w:rPr>
      </w:r>
    </w:p>
    <w:p>
      <w:pPr>
        <w:pStyle w:val="Normal"/>
        <w:numPr>
          <w:ilvl w:val="0"/>
          <w:numId w:val="5"/>
        </w:numPr>
        <w:jc w:val="both"/>
        <w:rPr>
          <w:rFonts w:ascii="Arial" w:hAnsi="Arial" w:cs="Arial"/>
        </w:rPr>
      </w:pPr>
      <w:r>
        <w:rPr>
          <w:rFonts w:cs="Arial" w:ascii="Arial" w:hAnsi="Arial"/>
        </w:rPr>
        <w:t xml:space="preserve">return the Vendor’s documents including the original Strata Title to the Vendor with the Vendor’s interest intact (if the same or any documents have been delivered to the Purchaser’s Solicitors or the Purchaser’s Financier’s Solicitors, as the case may be) </w:t>
      </w:r>
      <w:bookmarkStart w:id="5" w:name="_Hlk132184708"/>
      <w:r>
        <w:rPr>
          <w:rFonts w:cs="Arial" w:ascii="Arial" w:hAnsi="Arial"/>
        </w:rPr>
        <w:t xml:space="preserve">provided that if the Memorandum of Transfer has been stamped with the adjudicated value, the Purchaser shall be entitled to retain the same for cancellation and refund of the adjudicated stamp duty paid with the Vendor’s interest therein fully intact. </w:t>
      </w:r>
    </w:p>
    <w:p>
      <w:pPr>
        <w:pStyle w:val="ListParagraph"/>
        <w:rPr>
          <w:rFonts w:ascii="Arial" w:hAnsi="Arial" w:cs="Arial"/>
        </w:rPr>
      </w:pPr>
      <w:r>
        <w:rPr>
          <w:rFonts w:cs="Arial" w:ascii="Arial" w:hAnsi="Arial"/>
        </w:rPr>
      </w:r>
      <w:bookmarkStart w:id="6" w:name="_Hlk15481854"/>
      <w:bookmarkStart w:id="7" w:name="_Hlk15481854"/>
      <w:bookmarkEnd w:id="7"/>
      <w:bookmarkEnd w:id="5"/>
    </w:p>
    <w:p>
      <w:pPr>
        <w:pStyle w:val="Normal"/>
        <w:ind w:start="360" w:end="0"/>
        <w:jc w:val="both"/>
        <w:rPr>
          <w:rFonts w:ascii="Arial" w:hAnsi="Arial" w:cs="Arial"/>
        </w:rPr>
      </w:pPr>
      <w:r>
        <w:rPr>
          <w:rFonts w:cs="Arial" w:ascii="Arial" w:hAnsi="Arial"/>
        </w:rPr>
        <w:t xml:space="preserve">Thereafter this Agreement shall be null and void and of no further legal effect and neither party hereto shall have any claims against the other and the Vendor shall be entitled at its absolute discretion to resell the said Property either by public auction or by private contract and at such time and place and subject to such conditions and in such manner as the Vendor shall think fit without the necessity of previously tendering or offering to make any sale to the Purchaser. </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ind w:hanging="360" w:start="360" w:end="0"/>
        <w:jc w:val="both"/>
        <w:rPr/>
      </w:pPr>
      <w:r>
        <w:rPr>
          <w:rFonts w:cs="Arial" w:ascii="Arial" w:hAnsi="Arial"/>
          <w:b/>
          <w:bCs/>
        </w:rPr>
        <w:t>7.</w:t>
        <w:tab/>
      </w:r>
      <w:r>
        <w:rPr>
          <w:rFonts w:cs="Arial" w:ascii="Arial" w:hAnsi="Arial"/>
          <w:b/>
          <w:bCs/>
          <w:u w:val="single"/>
        </w:rPr>
        <w:t>DEFAULT BY THE VENDOR</w:t>
      </w:r>
    </w:p>
    <w:p>
      <w:pPr>
        <w:pStyle w:val="Normal"/>
        <w:jc w:val="both"/>
        <w:rPr>
          <w:rFonts w:ascii="Arial" w:hAnsi="Arial" w:cs="Arial"/>
          <w:b/>
          <w:bCs/>
          <w:u w:val="single"/>
        </w:rPr>
      </w:pPr>
      <w:r>
        <w:rPr>
          <w:rFonts w:cs="Arial" w:ascii="Arial" w:hAnsi="Arial"/>
          <w:b/>
          <w:bCs/>
          <w:u w:val="single"/>
        </w:rPr>
      </w:r>
    </w:p>
    <w:p>
      <w:pPr>
        <w:pStyle w:val="Normal"/>
        <w:ind w:hanging="360" w:start="360" w:end="0"/>
        <w:jc w:val="both"/>
        <w:rPr/>
      </w:pPr>
      <w:commentRangeStart w:id="9"/>
      <w:r>
        <w:rPr>
          <w:rFonts w:cs="Arial" w:ascii="Arial" w:hAnsi="Arial"/>
          <w:highlight w:val="red"/>
        </w:rPr>
        <w:tab/>
        <w:t xml:space="preserve">In the event of any breach by the Vendor of any of the provisions of this Agreement and/or in the event that the Vendor shall fail to complete this transaction for any reason whatsoever not attributable to the Purchaser’s fault, the Purchaser shall be entitled to the remedy at law for Specific Performance against the Vendor of any terms of this Agreement and to claim damages for the breaches thereto insofar as legally permissible OR to terminate this Agreement and to seek a refund from the Vendor of all monies paid under this Agreement free of interest and the Vendor shall in addition pay to the Purchaser a further sum equivalent to the Deposit as agreed liquidated damages. The total sum payable to the Purchaser shall be paid by the Vendor within fourteen  (14) working days of a notice demanding the same failing which the Vendor shall pay to the Purchaser interest at the rate of 8% per annum calculated on daily basis until full settlement thereof, subject to the condition that the Purchaser shall simultaneously: - </w:t>
      </w:r>
      <w:commentRangeEnd w:id="9"/>
      <w:r>
        <w:rPr>
          <w:rStyle w:val="CommentReference"/>
        </w:rPr>
        <w:commentReference w:id="9"/>
      </w:r>
    </w:p>
    <w:p>
      <w:pPr>
        <w:pStyle w:val="Normal"/>
        <w:ind w:hanging="360" w:start="360" w:end="0"/>
        <w:jc w:val="both"/>
        <w:rPr>
          <w:rFonts w:ascii="Arial" w:hAnsi="Arial" w:cs="Arial"/>
        </w:rPr>
      </w:pPr>
      <w:r>
        <w:rPr>
          <w:rFonts w:cs="Arial" w:ascii="Arial" w:hAnsi="Arial"/>
        </w:rPr>
      </w:r>
    </w:p>
    <w:p>
      <w:pPr>
        <w:pStyle w:val="Normal"/>
        <w:numPr>
          <w:ilvl w:val="0"/>
          <w:numId w:val="16"/>
        </w:numPr>
        <w:jc w:val="both"/>
        <w:rPr>
          <w:rFonts w:ascii="Arial" w:hAnsi="Arial" w:cs="Arial"/>
        </w:rPr>
      </w:pPr>
      <w:r>
        <w:rPr>
          <w:rFonts w:cs="Arial" w:ascii="Arial" w:hAnsi="Arial"/>
        </w:rPr>
        <w:t xml:space="preserve">withdraw the private caveat lodged by the Purchaser and/or the Purchaser’s Financier (if any) against the said Property; </w:t>
      </w:r>
    </w:p>
    <w:p>
      <w:pPr>
        <w:pStyle w:val="Normal"/>
        <w:ind w:start="720" w:end="0"/>
        <w:jc w:val="both"/>
        <w:rPr>
          <w:rFonts w:ascii="Arial" w:hAnsi="Arial" w:cs="Arial"/>
        </w:rPr>
      </w:pPr>
      <w:r>
        <w:rPr>
          <w:rFonts w:cs="Arial" w:ascii="Arial" w:hAnsi="Arial"/>
        </w:rPr>
      </w:r>
    </w:p>
    <w:p>
      <w:pPr>
        <w:pStyle w:val="Normal"/>
        <w:numPr>
          <w:ilvl w:val="0"/>
          <w:numId w:val="16"/>
        </w:numPr>
        <w:jc w:val="both"/>
        <w:rPr>
          <w:rFonts w:ascii="Arial" w:hAnsi="Arial" w:cs="Arial"/>
        </w:rPr>
      </w:pPr>
      <w:r>
        <w:rPr>
          <w:rFonts w:cs="Arial" w:ascii="Arial" w:hAnsi="Arial"/>
        </w:rPr>
        <w:t xml:space="preserve">re-deliver vacant possession of the said Property (if vacant possession has been delivered earlier to the Purchaser) with fair wear and tear expected; and </w:t>
      </w:r>
    </w:p>
    <w:p>
      <w:pPr>
        <w:pStyle w:val="ListParagraph"/>
        <w:rPr>
          <w:rFonts w:ascii="Arial" w:hAnsi="Arial" w:cs="Arial"/>
        </w:rPr>
      </w:pPr>
      <w:r>
        <w:rPr>
          <w:rFonts w:cs="Arial" w:ascii="Arial" w:hAnsi="Arial"/>
        </w:rPr>
      </w:r>
    </w:p>
    <w:p>
      <w:pPr>
        <w:pStyle w:val="Normal"/>
        <w:numPr>
          <w:ilvl w:val="0"/>
          <w:numId w:val="16"/>
        </w:numPr>
        <w:jc w:val="both"/>
        <w:rPr>
          <w:rFonts w:ascii="Arial" w:hAnsi="Arial" w:cs="Arial"/>
        </w:rPr>
      </w:pPr>
      <w:r>
        <w:rPr>
          <w:rFonts w:cs="Arial" w:ascii="Arial" w:hAnsi="Arial"/>
        </w:rPr>
        <w:t xml:space="preserve">return the Vendor’s documents including the original Strata Title to the Vendor with the Vendor’s interest intact (if the same or any documents have been delivered to the Purchaser’s Solicitors or the Purchaser’s Financier’s Solicitors, as the case may be) provided that if the Memorandum of Transfer has been stamped with the adjudicated value, the Purchaser shall be entitled to retain the same for cancellation and refund of the adjudicated stamp duty paid with the Vendor’s interest therein fully intact. </w:t>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rPr>
      </w:pPr>
      <w:r>
        <w:rPr>
          <w:rFonts w:cs="Arial" w:ascii="Arial" w:hAnsi="Arial"/>
          <w:b/>
          <w:bCs/>
        </w:rPr>
        <w:t>8.</w:t>
        <w:tab/>
      </w:r>
      <w:r>
        <w:rPr>
          <w:rFonts w:cs="Arial" w:ascii="Arial" w:hAnsi="Arial"/>
          <w:b/>
          <w:bCs/>
          <w:u w:val="single"/>
        </w:rPr>
        <w:t>NON-REGISTRATION OF DOCUMENTS</w:t>
      </w:r>
    </w:p>
    <w:p>
      <w:pPr>
        <w:pStyle w:val="Normal"/>
        <w:jc w:val="both"/>
        <w:rPr>
          <w:rFonts w:ascii="Arial" w:hAnsi="Arial" w:cs="Arial"/>
        </w:rPr>
      </w:pPr>
      <w:r>
        <w:rPr>
          <w:rFonts w:cs="Arial" w:ascii="Arial" w:hAnsi="Arial"/>
        </w:rPr>
      </w:r>
    </w:p>
    <w:p>
      <w:pPr>
        <w:pStyle w:val="Normal"/>
        <w:ind w:hanging="360" w:start="360" w:end="0"/>
        <w:jc w:val="both"/>
        <w:rPr/>
      </w:pPr>
      <w:commentRangeStart w:id="10"/>
      <w:r>
        <w:rPr>
          <w:rFonts w:cs="Arial" w:ascii="Arial" w:hAnsi="Arial"/>
          <w:highlight w:val="yellow"/>
        </w:rPr>
        <w:tab/>
        <w:t xml:space="preserve">Notwithstanding any of the provisions contained in Clause 6 and 7 hereinbefore provided in the event that registration of all or any of the relevant documents necessary for effecting transfer of the said Property into the name of the Purchaser cannot be effected for any reason whatsoever, or defect which cannot be rectified by the Vendor and/or the Purchaser and the parties having exhausted all attempts to rectify the same, either party shall be entitled to terminate the transaction herein whereupon, the Vendor shall within fourteen  (10) working days from the date of receipt of any written notice given by the Purchaser and/or the Purchaser’s Solicitors refund to the Purchaser all monies (including the amount of the Deposit sum) received by the Vendor and/or the Purchaser’s Solicitors as Stakeholders pursuant to the provisions of this Agreement free of interest, failing which the Vendor or the Vendor’s Solicitors (as the case may be) shall pay to the Purchaser interest at the rate of 8% per annum calculated on daily basis until full settlement thereof. Simultaneously with such refund, the Purchaser shall: - </w:t>
      </w:r>
      <w:commentRangeEnd w:id="10"/>
      <w:r>
        <w:rPr>
          <w:rStyle w:val="CommentReference"/>
        </w:rPr>
        <w:commentReference w:id="10"/>
      </w:r>
    </w:p>
    <w:p>
      <w:pPr>
        <w:pStyle w:val="Normal"/>
        <w:ind w:hanging="360" w:start="360" w:end="0"/>
        <w:jc w:val="both"/>
        <w:rPr>
          <w:rFonts w:ascii="Arial" w:hAnsi="Arial" w:cs="Arial"/>
        </w:rPr>
      </w:pPr>
      <w:r>
        <w:rPr>
          <w:rFonts w:cs="Arial" w:ascii="Arial" w:hAnsi="Arial"/>
        </w:rPr>
      </w:r>
    </w:p>
    <w:p>
      <w:pPr>
        <w:pStyle w:val="Normal"/>
        <w:numPr>
          <w:ilvl w:val="0"/>
          <w:numId w:val="12"/>
        </w:numPr>
        <w:jc w:val="both"/>
        <w:rPr>
          <w:rFonts w:ascii="Arial" w:hAnsi="Arial" w:cs="Arial"/>
        </w:rPr>
      </w:pPr>
      <w:r>
        <w:rPr>
          <w:rFonts w:cs="Arial" w:ascii="Arial" w:hAnsi="Arial"/>
        </w:rPr>
        <w:t xml:space="preserve">withdraw the private caveat lodged by the Purchaser and/or the Purchaser’s Financier (if any) against the said Property; </w:t>
      </w:r>
    </w:p>
    <w:p>
      <w:pPr>
        <w:pStyle w:val="Normal"/>
        <w:ind w:start="720" w:end="0"/>
        <w:jc w:val="both"/>
        <w:rPr>
          <w:rFonts w:ascii="Arial" w:hAnsi="Arial" w:cs="Arial"/>
        </w:rPr>
      </w:pPr>
      <w:r>
        <w:rPr>
          <w:rFonts w:cs="Arial" w:ascii="Arial" w:hAnsi="Arial"/>
        </w:rPr>
      </w:r>
    </w:p>
    <w:p>
      <w:pPr>
        <w:pStyle w:val="Normal"/>
        <w:numPr>
          <w:ilvl w:val="0"/>
          <w:numId w:val="12"/>
        </w:numPr>
        <w:jc w:val="both"/>
        <w:rPr>
          <w:rFonts w:ascii="Arial" w:hAnsi="Arial" w:cs="Arial"/>
        </w:rPr>
      </w:pPr>
      <w:r>
        <w:rPr>
          <w:rFonts w:cs="Arial" w:ascii="Arial" w:hAnsi="Arial"/>
        </w:rPr>
        <w:t xml:space="preserve">re-deliver vacant possession of the said Property (if vacant possession has been delivered earlier to the Purchaser) with fair wear and tear expected; and </w:t>
      </w:r>
    </w:p>
    <w:p>
      <w:pPr>
        <w:pStyle w:val="ListParagraph"/>
        <w:rPr>
          <w:rFonts w:ascii="Arial" w:hAnsi="Arial" w:cs="Arial"/>
        </w:rPr>
      </w:pPr>
      <w:r>
        <w:rPr>
          <w:rFonts w:cs="Arial" w:ascii="Arial" w:hAnsi="Arial"/>
        </w:rPr>
      </w:r>
    </w:p>
    <w:p>
      <w:pPr>
        <w:pStyle w:val="Normal"/>
        <w:numPr>
          <w:ilvl w:val="0"/>
          <w:numId w:val="12"/>
        </w:numPr>
        <w:jc w:val="both"/>
        <w:rPr>
          <w:rFonts w:ascii="Arial" w:hAnsi="Arial" w:cs="Arial"/>
        </w:rPr>
      </w:pPr>
      <w:r>
        <w:rPr>
          <w:rFonts w:cs="Arial" w:ascii="Arial" w:hAnsi="Arial"/>
        </w:rPr>
        <w:t xml:space="preserve">return the Vendor’s documents including the original Strata Title to the Vendor with the Vendor’s interest intact (if the same or any documents have been delivered to the Purchaser’s Solicitors or the Purchaser’s Financier’s Solicitors, as the case may be) provided that if the Memorandum of Transfer has been stamped with the adjudicated value, the Purchaser shall be entitled to retain the same for cancellation and refund of the adjudicated stamp duty paid with the Vendor’s interest therein fully intact. </w:t>
      </w:r>
    </w:p>
    <w:p>
      <w:pPr>
        <w:pStyle w:val="ListParagraph"/>
        <w:rPr>
          <w:rFonts w:ascii="Arial" w:hAnsi="Arial" w:cs="Arial"/>
        </w:rPr>
      </w:pPr>
      <w:r>
        <w:rPr>
          <w:rFonts w:cs="Arial" w:ascii="Arial" w:hAnsi="Arial"/>
        </w:rPr>
      </w:r>
    </w:p>
    <w:p>
      <w:pPr>
        <w:pStyle w:val="Normal"/>
        <w:ind w:start="360" w:end="0"/>
        <w:jc w:val="both"/>
        <w:rPr>
          <w:rFonts w:ascii="Arial" w:hAnsi="Arial" w:cs="Arial"/>
        </w:rPr>
      </w:pPr>
      <w:r>
        <w:rPr>
          <w:rFonts w:cs="Arial" w:ascii="Arial" w:hAnsi="Arial"/>
        </w:rPr>
        <w:t xml:space="preserve">Thereafter this Agreement shall terminate and cease to be of any further effect. </w:t>
      </w:r>
    </w:p>
    <w:p>
      <w:pPr>
        <w:pStyle w:val="Normal"/>
        <w:ind w:start="360" w:end="0"/>
        <w:jc w:val="both"/>
        <w:rPr>
          <w:rFonts w:ascii="Arial" w:hAnsi="Arial" w:cs="Arial"/>
        </w:rPr>
      </w:pPr>
      <w:r>
        <w:rPr>
          <w:rFonts w:cs="Arial" w:ascii="Arial" w:hAnsi="Arial"/>
        </w:rPr>
      </w:r>
    </w:p>
    <w:p>
      <w:pPr>
        <w:pStyle w:val="Normal"/>
        <w:ind w:start="360" w:end="0"/>
        <w:jc w:val="both"/>
        <w:rPr/>
      </w:pPr>
      <w:r>
        <w:rPr>
          <w:rFonts w:cs="Arial" w:ascii="Arial" w:hAnsi="Arial"/>
        </w:rPr>
        <w:t xml:space="preserve">In the event that the Memorandum of Transfer is rejected for registration due to any rectifiable reason because of the Vendor’s default, the Vendor shall upon notification by the Purchaser’s Solicitors authorize the Purchaser’s Solicitors to attend to the rectification not later than five (5) working days of such notification at the costs and expenses of the Vendor solely. </w:t>
      </w:r>
    </w:p>
    <w:p>
      <w:pPr>
        <w:pStyle w:val="Normal"/>
        <w:ind w:hanging="360" w:start="360" w:end="0"/>
        <w:jc w:val="both"/>
        <w:rPr>
          <w:rFonts w:ascii="Arial" w:hAnsi="Arial" w:cs="Arial"/>
          <w:b/>
          <w:bCs/>
        </w:rPr>
      </w:pPr>
      <w:r>
        <w:rPr>
          <w:rFonts w:cs="Arial" w:ascii="Arial" w:hAnsi="Arial"/>
          <w:b/>
          <w:bCs/>
        </w:rPr>
      </w:r>
    </w:p>
    <w:p>
      <w:pPr>
        <w:pStyle w:val="Normal"/>
        <w:ind w:hanging="360" w:start="360" w:end="0"/>
        <w:jc w:val="both"/>
        <w:rPr/>
      </w:pPr>
      <w:r>
        <w:rPr>
          <w:rFonts w:cs="Arial" w:ascii="Arial" w:hAnsi="Arial"/>
          <w:b/>
          <w:bCs/>
        </w:rPr>
        <w:t>9.</w:t>
        <w:tab/>
      </w:r>
      <w:r>
        <w:rPr>
          <w:rFonts w:cs="Arial" w:ascii="Arial" w:hAnsi="Arial"/>
          <w:b/>
          <w:bCs/>
          <w:u w:val="single"/>
        </w:rPr>
        <w:t>PRIVATE CAVEAT</w:t>
      </w:r>
    </w:p>
    <w:p>
      <w:pPr>
        <w:pStyle w:val="Normal"/>
        <w:jc w:val="both"/>
        <w:rPr>
          <w:rFonts w:ascii="Arial" w:hAnsi="Arial" w:cs="Arial"/>
          <w:b/>
          <w:bCs/>
          <w:u w:val="single"/>
        </w:rPr>
      </w:pPr>
      <w:r>
        <w:rPr>
          <w:rFonts w:cs="Arial" w:ascii="Arial" w:hAnsi="Arial"/>
          <w:b/>
          <w:bCs/>
          <w:u w:val="single"/>
        </w:rPr>
      </w:r>
    </w:p>
    <w:p>
      <w:pPr>
        <w:pStyle w:val="Normal"/>
        <w:ind w:hanging="540" w:start="900" w:end="0"/>
        <w:jc w:val="both"/>
        <w:rPr/>
      </w:pPr>
      <w:r>
        <w:rPr>
          <w:rFonts w:cs="Arial" w:ascii="Arial" w:hAnsi="Arial"/>
        </w:rPr>
        <w:t>9.1</w:t>
        <w:tab/>
        <w:t xml:space="preserve">The Purchaser shall be entitled to register a caveat against the said Property at their own cost pending the presentation for registration of the Memorandum of Transfer PROVIDED ALWAYS that upon execution hereof the Purchasers shall deposit a withdrawal of caveat together with the requisition fees with the Purchaser’s Solicitors in escrow who are authorized by the Purchaser to forthwith present the withdrawal of caveat at their own cost for registration at the appropriate Land Registry in the event that this Agreement is terminated lawfully. </w:t>
      </w:r>
    </w:p>
    <w:p>
      <w:pPr>
        <w:pStyle w:val="Normal"/>
        <w:jc w:val="both"/>
        <w:rPr>
          <w:rFonts w:ascii="Arial" w:hAnsi="Arial" w:cs="Arial"/>
        </w:rPr>
      </w:pPr>
      <w:r>
        <w:rPr>
          <w:rFonts w:cs="Arial" w:ascii="Arial" w:hAnsi="Arial"/>
        </w:rPr>
      </w:r>
    </w:p>
    <w:p>
      <w:pPr>
        <w:pStyle w:val="Normal"/>
        <w:ind w:hanging="540" w:start="900" w:end="0"/>
        <w:jc w:val="both"/>
        <w:rPr/>
      </w:pPr>
      <w:r>
        <w:rPr>
          <w:rFonts w:cs="Arial" w:ascii="Arial" w:hAnsi="Arial"/>
        </w:rPr>
        <w:t>9.2</w:t>
        <w:tab/>
        <w:t xml:space="preserve">The Vendor hereby agrees and consents to the Purchaser’s Financier presenting as security any Private Caveat and/or Lien Holder’s Caveat as the case may be at the Purchaser’s own costs against the said Property as the Purchaser’s Financier may deem expedient to facilitate the release of the Loan PROVIDED ALWAYS that the Purchaser shall at their own cost cause or procure the Purchaser’s Financier to withdraw the aforesaid caveat in the event this Agreement is terminated lawfully. </w:t>
      </w:r>
    </w:p>
    <w:p>
      <w:pPr>
        <w:pStyle w:val="Normal"/>
        <w:tabs>
          <w:tab w:val="clear" w:pos="720"/>
          <w:tab w:val="left" w:pos="1506" w:leader="none"/>
        </w:tabs>
        <w:jc w:val="both"/>
        <w:rPr>
          <w:rFonts w:ascii="Arial" w:hAnsi="Arial" w:cs="Arial"/>
        </w:rPr>
      </w:pPr>
      <w:r>
        <w:rPr>
          <w:rFonts w:cs="Arial" w:ascii="Arial" w:hAnsi="Arial"/>
        </w:rPr>
        <w:tab/>
      </w:r>
    </w:p>
    <w:p>
      <w:pPr>
        <w:pStyle w:val="NoSpacing"/>
        <w:ind w:hanging="360" w:start="360" w:end="0"/>
        <w:jc w:val="both"/>
        <w:rPr>
          <w:rFonts w:ascii="Arial" w:hAnsi="Arial" w:cs="Arial"/>
          <w:sz w:val="24"/>
          <w:szCs w:val="24"/>
        </w:rPr>
      </w:pPr>
      <w:r>
        <w:rPr>
          <w:rFonts w:cs="Arial" w:ascii="Arial" w:hAnsi="Arial"/>
          <w:b/>
          <w:sz w:val="24"/>
          <w:szCs w:val="24"/>
        </w:rPr>
        <w:t xml:space="preserve">10. </w:t>
      </w:r>
      <w:r>
        <w:rPr>
          <w:rFonts w:cs="Arial" w:ascii="Arial" w:hAnsi="Arial"/>
          <w:b/>
          <w:sz w:val="24"/>
          <w:szCs w:val="24"/>
          <w:u w:val="single"/>
        </w:rPr>
        <w:t>REMOVAL OF CAVEAT BY THIRD PARTY</w:t>
      </w:r>
    </w:p>
    <w:p>
      <w:pPr>
        <w:pStyle w:val="NoSpacing"/>
        <w:ind w:hanging="360" w:start="360" w:end="0"/>
        <w:jc w:val="both"/>
        <w:rPr>
          <w:rFonts w:ascii="Arial" w:hAnsi="Arial" w:cs="Arial"/>
          <w:sz w:val="24"/>
          <w:szCs w:val="24"/>
        </w:rPr>
      </w:pPr>
      <w:r>
        <w:rPr>
          <w:rFonts w:cs="Arial" w:ascii="Arial" w:hAnsi="Arial"/>
          <w:sz w:val="24"/>
          <w:szCs w:val="24"/>
        </w:rPr>
      </w:r>
    </w:p>
    <w:p>
      <w:pPr>
        <w:pStyle w:val="NoSpacing"/>
        <w:ind w:hanging="360" w:start="360" w:end="0"/>
        <w:jc w:val="both"/>
        <w:rPr/>
      </w:pPr>
      <w:r>
        <w:rPr>
          <w:rFonts w:cs="Arial" w:ascii="Arial" w:hAnsi="Arial"/>
          <w:sz w:val="24"/>
          <w:szCs w:val="24"/>
        </w:rPr>
        <w:tab/>
        <w:t xml:space="preserve">In the event any caveats are lodged against the said Property after the date of this Agreement by any person other than the Purchaser or the Financier, the Vendor shall do everything necessary to remove such caveats and bear all the costs and expenses in removing such caveats. In the event such actions to remove the caveats are initiated by the Purchaser the Vendor shall assist in every way possible and the Vendor shall indemnify the Purchaser for all the costs and expenses that the Purchaser may have incurred in removing such caveats. The Vendor agrees and confirms that the Completion Date for the Sale and Purchase Agreement shall be suspended without interest until such caveats are duly removed. The Purchaser’s Solicitors are authorized by the parties hereto to extend the Completion Date accordingly without interest for such period as may be deemed fit by the Purchaser’s Solicitors. </w:t>
      </w:r>
    </w:p>
    <w:p>
      <w:pPr>
        <w:pStyle w:val="NoSpacing"/>
        <w:ind w:hanging="360" w:start="360" w:end="0"/>
        <w:jc w:val="both"/>
        <w:rPr>
          <w:rFonts w:ascii="Arial" w:hAnsi="Arial" w:cs="Arial"/>
          <w:sz w:val="24"/>
          <w:szCs w:val="24"/>
        </w:rPr>
      </w:pPr>
      <w:r>
        <w:rPr>
          <w:rFonts w:cs="Arial" w:ascii="Arial" w:hAnsi="Arial"/>
          <w:sz w:val="24"/>
          <w:szCs w:val="24"/>
        </w:rPr>
      </w:r>
    </w:p>
    <w:p>
      <w:pPr>
        <w:pStyle w:val="Normal"/>
        <w:ind w:hanging="360" w:start="360" w:end="0"/>
        <w:jc w:val="both"/>
        <w:rPr>
          <w:rFonts w:ascii="Arial" w:hAnsi="Arial" w:cs="Arial"/>
          <w:b/>
          <w:bCs/>
        </w:rPr>
      </w:pPr>
      <w:r>
        <w:rPr>
          <w:rFonts w:cs="Arial" w:ascii="Arial" w:hAnsi="Arial"/>
          <w:b/>
          <w:bCs/>
        </w:rPr>
        <w:t>11.</w:t>
        <w:tab/>
      </w:r>
      <w:r>
        <w:rPr>
          <w:rFonts w:cs="Arial" w:ascii="Arial" w:hAnsi="Arial"/>
          <w:b/>
          <w:bCs/>
          <w:u w:val="single"/>
        </w:rPr>
        <w:t>PAYMENTS OF OUTGOINGS</w:t>
      </w:r>
    </w:p>
    <w:p>
      <w:pPr>
        <w:pStyle w:val="Normal"/>
        <w:ind w:hanging="360" w:start="360" w:end="0"/>
        <w:jc w:val="both"/>
        <w:rPr>
          <w:rFonts w:ascii="Arial" w:hAnsi="Arial" w:cs="Arial"/>
          <w:b/>
          <w:bCs/>
          <w:sz w:val="20"/>
          <w:szCs w:val="20"/>
        </w:rPr>
      </w:pPr>
      <w:r>
        <w:rPr>
          <w:rFonts w:cs="Arial" w:ascii="Arial" w:hAnsi="Arial"/>
          <w:b/>
          <w:bCs/>
          <w:sz w:val="20"/>
          <w:szCs w:val="20"/>
        </w:rPr>
      </w:r>
    </w:p>
    <w:p>
      <w:pPr>
        <w:pStyle w:val="Normal"/>
        <w:ind w:hanging="360" w:start="360" w:end="0"/>
        <w:jc w:val="both"/>
        <w:rPr/>
      </w:pPr>
      <w:commentRangeStart w:id="28"/>
      <w:r>
        <w:rPr>
          <w:rFonts w:cs="Arial" w:ascii="Arial" w:hAnsi="Arial"/>
          <w:highlight w:val="yellow"/>
        </w:rPr>
        <w:tab/>
        <w:t xml:space="preserve">All Quit Rent, Assessment, utilities, sewerage, and all other outgoings payable and the rentals and profits (if any) except the tax payable under the Real Property Gains Tax Act payable in respect of the said Property shall be apportioned between the parties hereto as at the date of delivery of vacant possession of the said Property and any sum or sums due by virtue of such apportionment shall be paid or allowed as the case may be on such date PROVIDED ALWAYS that the Vendor shall indemnify the Purchaser in respect of any late payment by the Vendor of such aforesaid payments and that the Vendor’s Solicitors shall be entitled to but not obliged to retain any part of the purchase monies to pay for outstanding outgoings payable by the Vendor. </w:t>
      </w:r>
      <w:commentRangeEnd w:id="28"/>
      <w:r>
        <w:rPr>
          <w:rStyle w:val="CommentReference"/>
        </w:rPr>
        <w:commentReference w:id="28"/>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rPr>
      </w:pPr>
      <w:r>
        <w:rPr>
          <w:rFonts w:cs="Arial" w:ascii="Arial" w:hAnsi="Arial"/>
        </w:rPr>
        <w:tab/>
      </w:r>
      <w:r>
        <w:rPr>
          <w:rFonts w:cs="Arial" w:ascii="Arial" w:hAnsi="Arial"/>
          <w:lang w:val="en-GB"/>
        </w:rPr>
        <w:t xml:space="preserve">On the date of delivery of vacant possession of the said Property by the Vendor to the Purchaser, the Vendor shall deliver to the Purchaser’ Solicitors documentary evidence that all outstanding rates and outgoings in respect of the said Property have been paid (including the receipts for the latest Quit Rent, Assessment, utilities, sewerage charges and all other outgoings in respect the said Property). </w:t>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rPr>
      </w:pPr>
      <w:r>
        <w:rPr>
          <w:rFonts w:cs="Arial" w:ascii="Arial" w:hAnsi="Arial"/>
          <w:b/>
          <w:bCs/>
        </w:rPr>
        <w:t>12.</w:t>
        <w:tab/>
      </w:r>
      <w:r>
        <w:rPr>
          <w:rFonts w:cs="Arial" w:ascii="Arial" w:hAnsi="Arial"/>
          <w:b/>
          <w:bCs/>
          <w:u w:val="single"/>
        </w:rPr>
        <w:t>REAL PROPERTY GAINS TAX</w:t>
      </w:r>
    </w:p>
    <w:p>
      <w:pPr>
        <w:pStyle w:val="Normal"/>
        <w:ind w:hanging="720" w:start="1080" w:end="0"/>
        <w:jc w:val="both"/>
        <w:rPr>
          <w:rFonts w:ascii="Arial" w:hAnsi="Arial" w:cs="Arial"/>
        </w:rPr>
      </w:pPr>
      <w:r>
        <w:rPr>
          <w:rFonts w:cs="Arial" w:ascii="Arial" w:hAnsi="Arial"/>
        </w:rPr>
      </w:r>
    </w:p>
    <w:p>
      <w:pPr>
        <w:pStyle w:val="Normal"/>
        <w:ind w:hanging="720" w:start="1080" w:end="0"/>
        <w:jc w:val="both"/>
        <w:rPr>
          <w:rFonts w:ascii="Arial" w:hAnsi="Arial" w:cs="Arial"/>
        </w:rPr>
      </w:pPr>
      <w:r>
        <w:rPr>
          <w:rFonts w:cs="Arial" w:ascii="Arial" w:hAnsi="Arial"/>
        </w:rPr>
      </w:r>
    </w:p>
    <w:p>
      <w:pPr>
        <w:pStyle w:val="Normal"/>
        <w:ind w:hanging="709" w:start="709" w:end="0"/>
        <w:jc w:val="both"/>
        <w:rPr/>
      </w:pPr>
      <w:r>
        <w:rPr>
          <w:rFonts w:cs="Arial" w:ascii="Arial" w:hAnsi="Arial"/>
        </w:rPr>
        <w:t>12.1</w:t>
        <w:tab/>
        <w:t>The parties hereto agree and declare that they shall comply with the provisions of the Real Property Gains Tax Act, 1976 (hereinafter referred to as “the RPGT Act”), its amendments and in particular the notification of this transaction shall be made by each party separately in the prescribed form and by submitting the same to the Director General of Inland Revenue (hereinafter referred to as “the DGIR”) within Sixty (60) days from the date of the State Authority’s Consent.</w:t>
      </w:r>
    </w:p>
    <w:p>
      <w:pPr>
        <w:pStyle w:val="Normal"/>
        <w:jc w:val="both"/>
        <w:rPr>
          <w:rFonts w:ascii="Arial" w:hAnsi="Arial" w:cs="Arial"/>
        </w:rPr>
      </w:pPr>
      <w:r>
        <w:rPr>
          <w:rFonts w:cs="Arial" w:ascii="Arial" w:hAnsi="Arial"/>
        </w:rPr>
      </w:r>
    </w:p>
    <w:p>
      <w:pPr>
        <w:pStyle w:val="Normal"/>
        <w:ind w:hanging="709" w:start="709" w:end="0"/>
        <w:jc w:val="both"/>
        <w:rPr/>
      </w:pPr>
      <w:commentRangeStart w:id="29"/>
      <w:r>
        <w:rPr>
          <w:rFonts w:cs="Arial" w:ascii="Arial" w:hAnsi="Arial"/>
          <w:highlight w:val="yellow"/>
        </w:rPr>
        <w:t>12.2</w:t>
        <w:tab/>
        <w:t>The Vendor hereby confirms that the Vendor has acquired the said Property for more than five (5) years and this transaction shall fall under Section 35 of the Finance Act 2021 to be read together with RPGT, therefore there shall be no retention sum to be retained by the Purchaser’s Solicitors. The Vendor shall sign and deliver a copy of the CKHT 3 form and deliver it to the Purchaser’s Solicitors within fourteen (14) days of the date of this Agreement to enable the Purchaser’s Solicitors to file the CKHT 3 form together with the CKHT 2A form to the DGIR in accordance with the RPGT Act.</w:t>
      </w:r>
      <w:commentRangeEnd w:id="29"/>
      <w:r>
        <w:rPr>
          <w:rStyle w:val="CommentReference"/>
        </w:rPr>
        <w:commentReference w:id="29"/>
      </w:r>
    </w:p>
    <w:p>
      <w:pPr>
        <w:pStyle w:val="Normal"/>
        <w:jc w:val="both"/>
        <w:rPr>
          <w:rFonts w:ascii="Arial" w:hAnsi="Arial" w:cs="Arial"/>
        </w:rPr>
      </w:pPr>
      <w:r>
        <w:rPr>
          <w:rFonts w:cs="Arial" w:ascii="Arial" w:hAnsi="Arial"/>
        </w:rPr>
      </w:r>
    </w:p>
    <w:p>
      <w:pPr>
        <w:pStyle w:val="Normal"/>
        <w:ind w:hanging="709" w:start="709" w:end="0"/>
        <w:jc w:val="both"/>
        <w:rPr/>
      </w:pPr>
      <w:r>
        <w:rPr>
          <w:rFonts w:cs="Arial" w:ascii="Arial" w:hAnsi="Arial"/>
        </w:rPr>
        <w:t>12.3</w:t>
        <w:tab/>
        <w:t>Notwithstanding Clause 12.1 and 12.2 herein, the Vendor hereby covenants and undertakes to indemnify and keep the Purchaser indemnified against all actions, proceedings and demands resulting from any failure by the Vendor to comply with the provisions of the RPGT Act.</w:t>
      </w:r>
    </w:p>
    <w:p>
      <w:pPr>
        <w:pStyle w:val="Normal"/>
        <w:ind w:hanging="720" w:start="1080" w:end="0"/>
        <w:jc w:val="both"/>
        <w:rPr>
          <w:rFonts w:ascii="Arial" w:hAnsi="Arial" w:cs="Arial"/>
        </w:rPr>
      </w:pPr>
      <w:r>
        <w:rPr>
          <w:rFonts w:cs="Arial" w:ascii="Arial" w:hAnsi="Arial"/>
        </w:rPr>
      </w:r>
    </w:p>
    <w:p>
      <w:pPr>
        <w:pStyle w:val="Normal"/>
        <w:ind w:hanging="360" w:start="360" w:end="0"/>
        <w:jc w:val="both"/>
        <w:rPr>
          <w:rFonts w:ascii="Arial" w:hAnsi="Arial" w:cs="Arial"/>
          <w:u w:val="single"/>
        </w:rPr>
      </w:pPr>
      <w:r>
        <w:rPr>
          <w:rFonts w:cs="Arial" w:ascii="Arial" w:hAnsi="Arial"/>
          <w:b/>
          <w:bCs/>
        </w:rPr>
        <w:t>13.</w:t>
        <w:tab/>
      </w:r>
      <w:r>
        <w:rPr>
          <w:rFonts w:cs="Arial" w:ascii="Arial" w:hAnsi="Arial"/>
          <w:b/>
          <w:bCs/>
          <w:u w:val="single"/>
        </w:rPr>
        <w:t>DELIVERY OF VACANT POSSESSION OF THE SAID PROPERTY</w:t>
      </w:r>
    </w:p>
    <w:p>
      <w:pPr>
        <w:pStyle w:val="Normal"/>
        <w:jc w:val="both"/>
        <w:rPr>
          <w:rFonts w:ascii="Arial" w:hAnsi="Arial" w:cs="Arial"/>
          <w:u w:val="single"/>
        </w:rPr>
      </w:pPr>
      <w:r>
        <w:rPr>
          <w:rFonts w:cs="Arial" w:ascii="Arial" w:hAnsi="Arial"/>
          <w:u w:val="single"/>
        </w:rPr>
      </w:r>
    </w:p>
    <w:p>
      <w:pPr>
        <w:pStyle w:val="Normal"/>
        <w:ind w:hanging="360" w:start="360" w:end="0"/>
        <w:jc w:val="both"/>
        <w:rPr/>
      </w:pPr>
      <w:r>
        <w:rPr>
          <w:rFonts w:cs="Arial" w:ascii="Arial" w:hAnsi="Arial"/>
          <w:b/>
          <w:bCs/>
        </w:rPr>
        <w:tab/>
      </w:r>
      <w:r>
        <w:rPr>
          <w:rFonts w:cs="Arial" w:ascii="Arial" w:hAnsi="Arial"/>
        </w:rPr>
        <w:t>The Vendor shall deliver vacant possession of the said Property in such condition as at the time of inspection of the said Property by the Purchaser (fair wear and tear excepted) within five (5) working days upon payment of the balance of the Purchase Price together with the apportioned outgoings and late payment interest, if any, to the Vendor’s Solicitors as Stakeholders in default the Vendor shall pay to the Purchaser interest at the rate of eight per centum (8%) per annum on the total Purchase Price calculated on a day to day basis from the date of such receipt of the total Purchase Price by the Vendor’s Solicitors to the actual date of delivery of vacant possession of the said Property by the Vendor to the Purchaser and that the Vendor’s Solicitors shall be entitled to retain any part of the Purchase Price to pay for the delay in delivery of vacant possession payable by the Vendor to the Purchaser. The Vendor’s Solicitors shall not release the balance of the Purchase Price together with the late payment interest (if any) until the Vendor delivers vacant possession of the said Property to the Purchaser.</w:t>
      </w:r>
    </w:p>
    <w:p>
      <w:pPr>
        <w:pStyle w:val="Normal"/>
        <w:ind w:hanging="360" w:start="360" w:end="0"/>
        <w:jc w:val="both"/>
        <w:rPr>
          <w:rFonts w:ascii="Arial" w:hAnsi="Arial" w:cs="Arial"/>
        </w:rPr>
      </w:pPr>
      <w:r>
        <w:rPr>
          <w:rFonts w:cs="Arial" w:ascii="Arial" w:hAnsi="Arial"/>
        </w:rPr>
      </w:r>
    </w:p>
    <w:p>
      <w:pPr>
        <w:pStyle w:val="Normal"/>
        <w:ind w:hanging="360" w:start="360" w:end="0"/>
        <w:jc w:val="both"/>
        <w:rPr>
          <w:rFonts w:ascii="Arial" w:hAnsi="Arial" w:cs="Arial"/>
        </w:rPr>
      </w:pPr>
      <w:r>
        <w:rPr>
          <w:rFonts w:cs="Arial" w:ascii="Arial" w:hAnsi="Arial"/>
        </w:rPr>
      </w:r>
    </w:p>
    <w:p>
      <w:pPr>
        <w:pStyle w:val="Normal"/>
        <w:tabs>
          <w:tab w:val="clear" w:pos="720"/>
          <w:tab w:val="left" w:pos="360" w:leader="none"/>
        </w:tabs>
        <w:ind w:hanging="1080" w:start="1080" w:end="0"/>
        <w:jc w:val="both"/>
        <w:rPr>
          <w:rFonts w:ascii="Arial" w:hAnsi="Arial" w:cs="Arial"/>
          <w:b/>
          <w:bCs/>
        </w:rPr>
      </w:pPr>
      <w:r>
        <w:rPr>
          <w:rFonts w:cs="Arial" w:ascii="Arial" w:hAnsi="Arial"/>
          <w:b/>
          <w:bCs/>
        </w:rPr>
        <w:t>14.</w:t>
        <w:tab/>
      </w:r>
      <w:r>
        <w:rPr>
          <w:rFonts w:cs="Arial" w:ascii="Arial" w:hAnsi="Arial"/>
          <w:b/>
          <w:bCs/>
          <w:u w:val="single"/>
        </w:rPr>
        <w:t>GOVERNMENT ACQUISITION</w:t>
      </w:r>
    </w:p>
    <w:p>
      <w:pPr>
        <w:pStyle w:val="Normal"/>
        <w:ind w:hanging="720" w:start="1080" w:end="0"/>
        <w:jc w:val="both"/>
        <w:rPr>
          <w:rFonts w:ascii="Arial" w:hAnsi="Arial" w:cs="Arial"/>
          <w:b/>
          <w:bCs/>
        </w:rPr>
      </w:pPr>
      <w:r>
        <w:rPr>
          <w:rFonts w:cs="Arial" w:ascii="Arial" w:hAnsi="Arial"/>
          <w:b/>
          <w:bCs/>
        </w:rPr>
      </w:r>
    </w:p>
    <w:p>
      <w:pPr>
        <w:pStyle w:val="Normal"/>
        <w:ind w:hanging="720" w:start="1080" w:end="0"/>
        <w:jc w:val="both"/>
        <w:rPr/>
      </w:pPr>
      <w:commentRangeStart w:id="30"/>
      <w:r>
        <w:rPr>
          <w:rFonts w:cs="Arial" w:ascii="Arial" w:hAnsi="Arial"/>
          <w:highlight w:val="yellow"/>
        </w:rPr>
        <w:t>14.1</w:t>
        <w:tab/>
        <w:t>The Vendor hereby warrants that at the date of this Agreement, he has not received any notification from the Government or such other competent authority of any intended development or acquisition of the whole or part of the said Property by the Government or such competent authority nor are aware of any intended acquisition of the said Property or any part thereof and the Vendor HEREBY FURTHER COVENANTS that in the event of the Government or such other competent authority having power in that behalf acquiring the said Property or any part or parts thereof for any purpose whatsoever between the date of this Agreement and the Completion Date, the Vendor shall immediately notify the Purchaser of such intended acquisition in writing whereupon the Purchaser shall within ten (10) working days as from the receipt of such notification from the Vendor be entitled but not obliged to terminate this Agreement and this proposed sale transaction PROVIDED THAT should the Purchaser exercise his rights to terminate as aforesaid, the Vendor shall refund to the Purchaser the Deposit sum and all part payments made towards the Purchase Price by the Purchaser to the Vendor or the Vendor’s Solicitors as Stakeholders free from interest within fourteen  (14) working days as from the date of such notice being sent by the Purchaser to the Vendor or the Vendor’s Solicitors as the case may be failing which the Vendor shall pay to the Purchaser interest at the rate of 8% per annum calculated on daily basis until full settlement thereof in exchange for the return of all the relevant documents delivered to the Purchaser in their original condition and with the interest of the Vendor in the said property intact and thereafter this Agreement and the proposed sale shall be deemed to be null and void and shall have no legal effect.</w:t>
      </w:r>
      <w:commentRangeEnd w:id="30"/>
      <w:r>
        <w:rPr>
          <w:rStyle w:val="CommentReference"/>
        </w:rPr>
        <w:commentReference w:id="30"/>
      </w:r>
    </w:p>
    <w:p>
      <w:pPr>
        <w:pStyle w:val="Normal"/>
        <w:jc w:val="both"/>
        <w:rPr>
          <w:rFonts w:ascii="Arial" w:hAnsi="Arial" w:cs="Arial"/>
        </w:rPr>
      </w:pPr>
      <w:r>
        <w:rPr>
          <w:rFonts w:cs="Arial" w:ascii="Arial" w:hAnsi="Arial"/>
        </w:rPr>
      </w:r>
    </w:p>
    <w:p>
      <w:pPr>
        <w:pStyle w:val="Normal"/>
        <w:ind w:hanging="720" w:start="1080" w:end="0"/>
        <w:jc w:val="both"/>
        <w:rPr/>
      </w:pPr>
      <w:r>
        <w:rPr>
          <w:rFonts w:cs="Arial" w:ascii="Arial" w:hAnsi="Arial"/>
        </w:rPr>
        <w:t>14.2</w:t>
        <w:tab/>
        <w:t xml:space="preserve">In the event that the Purchaser does not exercise his rights to terminate this Agreement within the time stipulated as aforesaid, the Vendor shall immediately notify the Government or such other competent acquiring authority of the Purchaser’s interest in the said Property under the terms of this Agreement and the Vendor hereby confirms and agrees that the Purchaser shall be absolutely entitled to the compensation, if any, offered by the Government or such other competent authority, provided however that subject to the balance of the purchase money having been paid to the Vendor in full. </w:t>
      </w:r>
    </w:p>
    <w:p>
      <w:pPr>
        <w:pStyle w:val="Normal"/>
        <w:tabs>
          <w:tab w:val="clear" w:pos="720"/>
          <w:tab w:val="left" w:pos="360" w:leader="none"/>
        </w:tabs>
        <w:jc w:val="both"/>
        <w:rPr>
          <w:rFonts w:ascii="Arial" w:hAnsi="Arial" w:cs="Arial"/>
          <w:b/>
          <w:bCs/>
        </w:rPr>
      </w:pPr>
      <w:r>
        <w:rPr>
          <w:rFonts w:cs="Arial" w:ascii="Arial" w:hAnsi="Arial"/>
          <w:b/>
          <w:bCs/>
        </w:rPr>
      </w:r>
    </w:p>
    <w:p>
      <w:pPr>
        <w:pStyle w:val="Normal"/>
        <w:tabs>
          <w:tab w:val="clear" w:pos="720"/>
          <w:tab w:val="left" w:pos="360" w:leader="none"/>
        </w:tabs>
        <w:jc w:val="both"/>
        <w:rPr/>
      </w:pPr>
      <w:r>
        <w:rPr>
          <w:rFonts w:cs="Arial" w:ascii="Arial" w:hAnsi="Arial"/>
          <w:b/>
          <w:bCs/>
        </w:rPr>
        <w:t xml:space="preserve">15. </w:t>
      </w:r>
      <w:r>
        <w:rPr>
          <w:rFonts w:cs="Arial" w:ascii="Arial" w:hAnsi="Arial"/>
          <w:b/>
          <w:bCs/>
          <w:u w:val="single"/>
        </w:rPr>
        <w:t>SALE SUBJECT TO OVERRIDING SPECIAL CONDITIONS</w:t>
      </w:r>
    </w:p>
    <w:p>
      <w:pPr>
        <w:pStyle w:val="Normal"/>
        <w:jc w:val="both"/>
        <w:rPr>
          <w:rFonts w:ascii="Arial" w:hAnsi="Arial" w:cs="Arial"/>
          <w:b/>
          <w:bCs/>
          <w:u w:val="single"/>
        </w:rPr>
      </w:pPr>
      <w:r>
        <w:rPr>
          <w:rFonts w:cs="Arial" w:ascii="Arial" w:hAnsi="Arial"/>
          <w:b/>
          <w:bCs/>
          <w:u w:val="single"/>
        </w:rPr>
      </w:r>
    </w:p>
    <w:p>
      <w:pPr>
        <w:pStyle w:val="Normal"/>
        <w:ind w:hanging="360" w:start="360" w:end="0"/>
        <w:jc w:val="both"/>
        <w:rPr/>
      </w:pPr>
      <w:r>
        <w:rPr>
          <w:rFonts w:cs="Arial" w:ascii="Arial" w:hAnsi="Arial"/>
          <w:b/>
          <w:bCs/>
        </w:rPr>
        <w:tab/>
      </w:r>
      <w:r>
        <w:rPr>
          <w:rFonts w:cs="Arial" w:ascii="Arial" w:hAnsi="Arial"/>
        </w:rPr>
        <w:t>The parties hereto expressly covenant and agree that the Sale and Purchase of the said Property shall in addition to the terms and conditions herein provided be further subject to the Special Express Conditions set out in the Third Schedule hereto and in the event of any conflicts discrepancies or variance the Special Express Conditions set out in the Third Schedule shall prevail.</w:t>
      </w:r>
    </w:p>
    <w:p>
      <w:pPr>
        <w:pStyle w:val="Normal"/>
        <w:ind w:hanging="360" w:start="360" w:end="0"/>
        <w:jc w:val="both"/>
        <w:rPr>
          <w:rFonts w:ascii="Arial" w:hAnsi="Arial" w:cs="Arial"/>
          <w:b/>
          <w:bCs/>
        </w:rPr>
      </w:pPr>
      <w:r>
        <w:rPr>
          <w:rFonts w:cs="Arial" w:ascii="Arial" w:hAnsi="Arial"/>
          <w:b/>
          <w:bCs/>
        </w:rPr>
      </w:r>
    </w:p>
    <w:p>
      <w:pPr>
        <w:pStyle w:val="Normal"/>
        <w:ind w:hanging="360" w:start="360" w:end="0"/>
        <w:jc w:val="both"/>
        <w:rPr/>
      </w:pPr>
      <w:r>
        <w:rPr>
          <w:rFonts w:cs="Arial" w:ascii="Arial" w:hAnsi="Arial"/>
          <w:b/>
          <w:bCs/>
        </w:rPr>
        <w:t>16.</w:t>
        <w:tab/>
      </w:r>
      <w:r>
        <w:rPr>
          <w:rFonts w:cs="Arial" w:ascii="Arial" w:hAnsi="Arial"/>
          <w:b/>
          <w:bCs/>
          <w:u w:val="single"/>
        </w:rPr>
        <w:t>TIME IS OF THE ESSENCE</w:t>
      </w:r>
    </w:p>
    <w:p>
      <w:pPr>
        <w:pStyle w:val="Normal"/>
        <w:ind w:hanging="360" w:start="360" w:end="0"/>
        <w:jc w:val="both"/>
        <w:rPr>
          <w:rFonts w:ascii="Arial" w:hAnsi="Arial" w:cs="Arial"/>
          <w:b/>
          <w:bCs/>
          <w:u w:val="single"/>
        </w:rPr>
      </w:pPr>
      <w:r>
        <w:rPr>
          <w:rFonts w:cs="Arial" w:ascii="Arial" w:hAnsi="Arial"/>
          <w:b/>
          <w:bCs/>
          <w:u w:val="single"/>
        </w:rPr>
      </w:r>
    </w:p>
    <w:p>
      <w:pPr>
        <w:pStyle w:val="Normal"/>
        <w:ind w:hanging="360" w:start="360" w:end="0"/>
        <w:jc w:val="both"/>
        <w:rPr>
          <w:rFonts w:ascii="Arial" w:hAnsi="Arial" w:cs="Arial"/>
        </w:rPr>
      </w:pPr>
      <w:commentRangeStart w:id="35"/>
      <w:r>
        <w:rPr>
          <w:rFonts w:cs="Arial" w:ascii="Arial" w:hAnsi="Arial"/>
          <w:highlight w:val="yellow"/>
        </w:rPr>
        <w:tab/>
        <w:t xml:space="preserve">16.1 </w:t>
        <w:tab/>
        <w:t xml:space="preserve">Time wherever mentioned herein is of the essence of the contract. </w:t>
      </w:r>
      <w:commentRangeEnd w:id="35"/>
      <w:r>
        <w:rPr>
          <w:rStyle w:val="CommentReference"/>
        </w:rPr>
        <w:commentReference w:id="35"/>
      </w:r>
    </w:p>
    <w:p>
      <w:pPr>
        <w:pStyle w:val="Normal"/>
        <w:ind w:hanging="360" w:start="360" w:end="0"/>
        <w:jc w:val="both"/>
        <w:rPr>
          <w:rFonts w:ascii="Arial" w:hAnsi="Arial" w:cs="Arial"/>
        </w:rPr>
      </w:pPr>
      <w:r>
        <w:rPr>
          <w:rFonts w:cs="Arial" w:ascii="Arial" w:hAnsi="Arial"/>
        </w:rPr>
      </w:r>
    </w:p>
    <w:p>
      <w:pPr>
        <w:pStyle w:val="Normal"/>
        <w:ind w:hanging="1080" w:start="1440" w:end="0"/>
        <w:jc w:val="both"/>
        <w:rPr/>
      </w:pPr>
      <w:r>
        <w:rPr>
          <w:rFonts w:cs="Arial" w:ascii="Arial" w:hAnsi="Arial"/>
        </w:rPr>
        <w:t xml:space="preserve">16.2 </w:t>
        <w:tab/>
        <w:t>For avoidance of doubt, in the event any documents and/or reply is not received by the Purchaser’s Solicitors or the Purchaser’s Financier’s Solicitors from the Vendor and/or the Purchaser’s Solicitors and/or any other relevant parties (hereinafter referred to as “</w:t>
      </w:r>
      <w:r>
        <w:rPr>
          <w:rFonts w:cs="Arial" w:ascii="Arial" w:hAnsi="Arial"/>
          <w:b/>
        </w:rPr>
        <w:t>the Relevant Parties</w:t>
      </w:r>
      <w:r>
        <w:rPr>
          <w:rFonts w:cs="Arial" w:ascii="Arial" w:hAnsi="Arial"/>
        </w:rPr>
        <w:t>”) or any action or obligation of the Vendor required in this Agreement is not performed or completed within Fourteen (14) days of the time of request the period from the Fifteen (15</w:t>
      </w:r>
      <w:r>
        <w:rPr>
          <w:rFonts w:cs="Arial" w:ascii="Arial" w:hAnsi="Arial"/>
          <w:vertAlign w:val="superscript"/>
        </w:rPr>
        <w:t>th</w:t>
      </w:r>
      <w:r>
        <w:rPr>
          <w:rFonts w:cs="Arial" w:ascii="Arial" w:hAnsi="Arial"/>
        </w:rPr>
        <w:t xml:space="preserve">) day after the date of receipt by the Relevant Parties of a written request from the Purchaser’s Solicitors or the Purchaser’s Financier’s Solicitors until the day when the requested documents and/or reply is delivered to the Purchaser’s Solicitors or the Purchaser’s Financier’s Solicitors and/or until the day the action or obligation of the Vendor has been performed or completed shall not be taken into account in the computation of the Completion date and/or Extended Completion Date and the Completion Date and/or Extended Completion Date shall be automatically extended to a time equivalent to such period free of interest. </w:t>
      </w:r>
    </w:p>
    <w:p>
      <w:pPr>
        <w:pStyle w:val="Normal"/>
        <w:ind w:hanging="360" w:start="360" w:end="0"/>
        <w:jc w:val="both"/>
        <w:rPr>
          <w:rFonts w:ascii="Arial" w:hAnsi="Arial" w:cs="Arial"/>
          <w:b/>
          <w:bCs/>
        </w:rPr>
      </w:pPr>
      <w:r>
        <w:rPr>
          <w:rFonts w:cs="Arial" w:ascii="Arial" w:hAnsi="Arial"/>
          <w:b/>
          <w:bCs/>
        </w:rPr>
      </w:r>
    </w:p>
    <w:p>
      <w:pPr>
        <w:pStyle w:val="Normal"/>
        <w:ind w:hanging="360" w:start="360" w:end="0"/>
        <w:jc w:val="both"/>
        <w:rPr>
          <w:rFonts w:ascii="Arial" w:hAnsi="Arial" w:cs="Arial"/>
          <w:b/>
          <w:bCs/>
        </w:rPr>
      </w:pPr>
      <w:r>
        <w:rPr>
          <w:rFonts w:cs="Arial" w:ascii="Arial" w:hAnsi="Arial"/>
          <w:b/>
          <w:bCs/>
        </w:rPr>
      </w:r>
    </w:p>
    <w:p>
      <w:pPr>
        <w:pStyle w:val="Normal"/>
        <w:ind w:hanging="360" w:start="360" w:end="0"/>
        <w:jc w:val="both"/>
        <w:rPr/>
      </w:pPr>
      <w:r>
        <w:rPr>
          <w:rFonts w:cs="Arial" w:ascii="Arial" w:hAnsi="Arial"/>
          <w:b/>
          <w:bCs/>
        </w:rPr>
        <w:t>17.</w:t>
        <w:tab/>
      </w:r>
      <w:r>
        <w:rPr>
          <w:rFonts w:cs="Arial" w:ascii="Arial" w:hAnsi="Arial"/>
          <w:b/>
          <w:bCs/>
          <w:u w:val="single"/>
        </w:rPr>
        <w:t>PAYMENT OF LEGAL COSTS OF TRANSFER</w:t>
      </w:r>
    </w:p>
    <w:p>
      <w:pPr>
        <w:pStyle w:val="Normal"/>
        <w:ind w:hanging="360" w:start="360" w:end="0"/>
        <w:jc w:val="both"/>
        <w:rPr>
          <w:rFonts w:ascii="Arial" w:hAnsi="Arial" w:cs="Arial"/>
          <w:b/>
          <w:bCs/>
          <w:u w:val="single"/>
        </w:rPr>
      </w:pPr>
      <w:r>
        <w:rPr>
          <w:rFonts w:cs="Arial" w:ascii="Arial" w:hAnsi="Arial"/>
          <w:b/>
          <w:bCs/>
          <w:u w:val="single"/>
        </w:rPr>
      </w:r>
    </w:p>
    <w:p>
      <w:pPr>
        <w:pStyle w:val="Normal"/>
        <w:ind w:hanging="360" w:start="360" w:end="0"/>
        <w:jc w:val="both"/>
        <w:rPr/>
      </w:pPr>
      <w:commentRangeStart w:id="26"/>
      <w:r>
        <w:rPr>
          <w:rFonts w:cs="Arial" w:ascii="Arial" w:hAnsi="Arial"/>
          <w:highlight w:val="red"/>
        </w:rPr>
        <w:tab/>
        <w:t xml:space="preserve">The costs of and incidental to the preparation and execution of this Agreement and the transfer of the said Property including stamp duty and registration fees thereon shall be borne by the Purchaser. The Purchaser agrees to pay as and when required any additional or excess stamp duty and/or penalty that may be imposed by the Collector of Stamp Duties or such other competent authority or authorities in respect of this Agreement and/or transfer of the said Property. The Vendor shall pay for his own Solicitor’s costs. </w:t>
      </w:r>
      <w:commentRangeEnd w:id="26"/>
      <w:r>
        <w:rPr>
          <w:rStyle w:val="CommentReference"/>
        </w:rPr>
        <w:commentReference w:id="26"/>
      </w:r>
    </w:p>
    <w:p>
      <w:pPr>
        <w:pStyle w:val="Normal"/>
        <w:jc w:val="both"/>
        <w:rPr>
          <w:rFonts w:ascii="Arial" w:hAnsi="Arial" w:cs="Arial"/>
        </w:rPr>
      </w:pPr>
      <w:r>
        <w:rPr>
          <w:rFonts w:cs="Arial" w:ascii="Arial" w:hAnsi="Arial"/>
        </w:rPr>
      </w:r>
    </w:p>
    <w:p>
      <w:pPr>
        <w:pStyle w:val="Normal"/>
        <w:tabs>
          <w:tab w:val="clear" w:pos="720"/>
          <w:tab w:val="left" w:pos="360" w:leader="none"/>
        </w:tabs>
        <w:jc w:val="both"/>
        <w:rPr/>
      </w:pPr>
      <w:r>
        <w:rPr>
          <w:rFonts w:cs="Arial" w:ascii="Arial" w:hAnsi="Arial"/>
          <w:b/>
          <w:bCs/>
        </w:rPr>
        <w:t>18.</w:t>
        <w:tab/>
      </w:r>
      <w:r>
        <w:rPr>
          <w:rFonts w:cs="Arial" w:ascii="Arial" w:hAnsi="Arial"/>
          <w:b/>
          <w:bCs/>
          <w:u w:val="single"/>
        </w:rPr>
        <w:t>WARRANTIES</w:t>
      </w:r>
    </w:p>
    <w:p>
      <w:pPr>
        <w:pStyle w:val="Normal"/>
        <w:jc w:val="both"/>
        <w:rPr>
          <w:rFonts w:ascii="Arial" w:hAnsi="Arial" w:cs="Arial"/>
          <w:b/>
          <w:bCs/>
          <w:u w:val="single"/>
        </w:rPr>
      </w:pPr>
      <w:r>
        <w:rPr>
          <w:rFonts w:cs="Arial" w:ascii="Arial" w:hAnsi="Arial"/>
          <w:b/>
          <w:bCs/>
          <w:u w:val="single"/>
        </w:rPr>
      </w:r>
    </w:p>
    <w:p>
      <w:pPr>
        <w:pStyle w:val="Normal"/>
        <w:ind w:hanging="360" w:start="360" w:end="0"/>
        <w:jc w:val="both"/>
        <w:rPr/>
      </w:pPr>
      <w:r>
        <w:rPr>
          <w:rFonts w:cs="Arial" w:ascii="Arial" w:hAnsi="Arial"/>
        </w:rPr>
        <w:tab/>
        <w:t xml:space="preserve">The Vendor hereby confirms that the Purchaser entered into this Agreement for the purchase of the said Property on the warranties and undertakings as follows: - </w:t>
      </w:r>
    </w:p>
    <w:p>
      <w:pPr>
        <w:pStyle w:val="Normal"/>
        <w:ind w:hanging="360" w:start="360" w:end="0"/>
        <w:jc w:val="both"/>
        <w:rPr>
          <w:rFonts w:ascii="Arial" w:hAnsi="Arial" w:cs="Arial"/>
        </w:rPr>
      </w:pPr>
      <w:r>
        <w:rPr>
          <w:rFonts w:cs="Arial" w:ascii="Arial" w:hAnsi="Arial"/>
        </w:rPr>
      </w:r>
    </w:p>
    <w:p>
      <w:pPr>
        <w:pStyle w:val="Normal"/>
        <w:ind w:hanging="540" w:start="900" w:end="0"/>
        <w:jc w:val="both"/>
        <w:rPr>
          <w:rFonts w:ascii="Arial" w:hAnsi="Arial" w:cs="Arial"/>
        </w:rPr>
      </w:pPr>
      <w:commentRangeStart w:id="31"/>
      <w:r>
        <w:rPr>
          <w:rFonts w:cs="Arial" w:ascii="Arial" w:hAnsi="Arial"/>
          <w:highlight w:val="red"/>
        </w:rPr>
        <w:t>(a)</w:t>
        <w:tab/>
        <w:t>the Vendor is the registered owner of the said Property;</w:t>
      </w:r>
      <w:commentRangeEnd w:id="31"/>
      <w:r>
        <w:rPr>
          <w:rStyle w:val="CommentReference"/>
        </w:rPr>
        <w:commentReference w:id="31"/>
      </w:r>
    </w:p>
    <w:p>
      <w:pPr>
        <w:pStyle w:val="Normal"/>
        <w:jc w:val="both"/>
        <w:rPr>
          <w:rFonts w:ascii="Arial" w:hAnsi="Arial" w:cs="Arial"/>
        </w:rPr>
      </w:pPr>
      <w:r>
        <w:rPr>
          <w:rFonts w:cs="Arial" w:ascii="Arial" w:hAnsi="Arial"/>
        </w:rPr>
      </w:r>
    </w:p>
    <w:p>
      <w:pPr>
        <w:pStyle w:val="Normal"/>
        <w:ind w:hanging="540" w:start="900" w:end="0"/>
        <w:jc w:val="both"/>
        <w:rPr/>
      </w:pPr>
      <w:r>
        <w:rPr>
          <w:rFonts w:cs="Arial" w:ascii="Arial" w:hAnsi="Arial"/>
        </w:rPr>
        <w:t>(b)</w:t>
        <w:tab/>
        <w:t>the Vendor has not entered into any agreement with any person, firm or company to sell the said Property or any part thereof or granted any option, license, easement, or any other right whatsoever over or in respect of the said Property or any other part thereof to any person, firm or company;</w:t>
      </w:r>
    </w:p>
    <w:p>
      <w:pPr>
        <w:pStyle w:val="Normal"/>
        <w:jc w:val="both"/>
        <w:rPr>
          <w:rFonts w:ascii="Arial" w:hAnsi="Arial" w:cs="Arial"/>
        </w:rPr>
      </w:pPr>
      <w:r>
        <w:rPr>
          <w:rFonts w:cs="Arial" w:ascii="Arial" w:hAnsi="Arial"/>
        </w:rPr>
      </w:r>
    </w:p>
    <w:p>
      <w:pPr>
        <w:pStyle w:val="Normal"/>
        <w:ind w:hanging="540" w:start="900" w:end="0"/>
        <w:jc w:val="both"/>
        <w:rPr/>
      </w:pPr>
      <w:r>
        <w:rPr>
          <w:rFonts w:cs="Arial" w:ascii="Arial" w:hAnsi="Arial"/>
        </w:rPr>
        <w:t>(c)</w:t>
        <w:tab/>
        <w:t>the Vendor has punctually paid all Quit Rents, Assessments, rates, taxes, and all other outgoings payable in respect of or in connection with or arising out of the said Property and no event of default has occurred that could or might entitle the state authority to forfeit the said Property or any part thereof;</w:t>
      </w:r>
    </w:p>
    <w:p>
      <w:pPr>
        <w:pStyle w:val="Normal"/>
        <w:jc w:val="both"/>
        <w:rPr>
          <w:rFonts w:ascii="Arial" w:hAnsi="Arial" w:cs="Arial"/>
        </w:rPr>
      </w:pPr>
      <w:r>
        <w:rPr>
          <w:rFonts w:cs="Arial" w:ascii="Arial" w:hAnsi="Arial"/>
        </w:rPr>
      </w:r>
    </w:p>
    <w:p>
      <w:pPr>
        <w:pStyle w:val="Normal"/>
        <w:ind w:hanging="540" w:start="900" w:end="0"/>
        <w:jc w:val="both"/>
        <w:rPr>
          <w:rFonts w:ascii="Arial" w:hAnsi="Arial" w:cs="Arial"/>
        </w:rPr>
      </w:pPr>
      <w:r>
        <w:rPr>
          <w:rFonts w:cs="Arial" w:ascii="Arial" w:hAnsi="Arial"/>
        </w:rPr>
        <w:t>(d)</w:t>
        <w:tab/>
        <w:t>the Vendor has observed and complied with all conditions, covenants, restrictions and category of land use express or implied, binding on the said Property or otherwise howsoever in respect of the said Property;</w:t>
      </w:r>
    </w:p>
    <w:p>
      <w:pPr>
        <w:pStyle w:val="Normal"/>
        <w:ind w:hanging="540" w:start="900" w:end="0"/>
        <w:jc w:val="both"/>
        <w:rPr>
          <w:rFonts w:ascii="Arial" w:hAnsi="Arial" w:cs="Arial"/>
        </w:rPr>
      </w:pPr>
      <w:r>
        <w:rPr>
          <w:rFonts w:cs="Arial" w:ascii="Arial" w:hAnsi="Arial"/>
        </w:rPr>
      </w:r>
    </w:p>
    <w:p>
      <w:pPr>
        <w:pStyle w:val="Normal"/>
        <w:ind w:hanging="540" w:start="900" w:end="0"/>
        <w:jc w:val="both"/>
        <w:rPr/>
      </w:pPr>
      <w:r>
        <w:rPr>
          <w:rFonts w:cs="Arial" w:ascii="Arial" w:hAnsi="Arial"/>
        </w:rPr>
        <w:t>(e)</w:t>
        <w:tab/>
        <w:t>the Vendor is not an undischarged bankrupt nor has committed any act of bankruptcy as defined by Section 3 of the Insolvency Act 1967 and covenant that there are no bankruptcy proceedings or any proceedings for the recovery of any debt pending or contemplated against the Vendor,</w:t>
      </w:r>
      <w:r>
        <w:rPr/>
        <w:t xml:space="preserve"> </w:t>
      </w:r>
      <w:r>
        <w:rPr>
          <w:rFonts w:cs="Arial" w:ascii="Arial" w:hAnsi="Arial"/>
        </w:rPr>
        <w:t>or in the event the Vendor is a company incorporated under the Companies Act 1965 or the Companies Act 2016, that there are any winding up proceedings initiated nor with any other notices whatsoever which will have the effect of invalidating this Agreement;</w:t>
      </w:r>
    </w:p>
    <w:p>
      <w:pPr>
        <w:pStyle w:val="Normal"/>
        <w:jc w:val="both"/>
        <w:rPr>
          <w:rFonts w:ascii="Arial" w:hAnsi="Arial" w:cs="Arial"/>
        </w:rPr>
      </w:pPr>
      <w:r>
        <w:rPr>
          <w:rFonts w:cs="Arial" w:ascii="Arial" w:hAnsi="Arial"/>
        </w:rPr>
      </w:r>
    </w:p>
    <w:p>
      <w:pPr>
        <w:pStyle w:val="Normal"/>
        <w:ind w:hanging="540" w:start="900" w:end="0"/>
        <w:jc w:val="both"/>
        <w:rPr/>
      </w:pPr>
      <w:r>
        <w:rPr>
          <w:rFonts w:cs="Arial" w:ascii="Arial" w:hAnsi="Arial"/>
        </w:rPr>
        <w:t>(f)</w:t>
        <w:tab/>
        <w:t>the said Property or any part thereof is not subject to any notice, declaration or proposal concerning or relating to acquisition or intended acquisition by the Government or such other competent authority at any time prior to and up to the date of this Agreement;</w:t>
      </w:r>
    </w:p>
    <w:p>
      <w:pPr>
        <w:pStyle w:val="Normal"/>
        <w:ind w:hanging="540" w:start="900" w:end="0"/>
        <w:jc w:val="both"/>
        <w:rPr>
          <w:rFonts w:ascii="Arial" w:hAnsi="Arial" w:cs="Arial"/>
        </w:rPr>
      </w:pPr>
      <w:r>
        <w:rPr>
          <w:rFonts w:cs="Arial" w:ascii="Arial" w:hAnsi="Arial"/>
        </w:rPr>
      </w:r>
    </w:p>
    <w:p>
      <w:pPr>
        <w:pStyle w:val="Normal"/>
        <w:ind w:hanging="540" w:start="900" w:end="0"/>
        <w:jc w:val="both"/>
        <w:rPr>
          <w:rFonts w:ascii="Arial" w:hAnsi="Arial" w:cs="Arial"/>
        </w:rPr>
      </w:pPr>
      <w:r>
        <w:rPr>
          <w:rFonts w:cs="Arial" w:ascii="Arial" w:hAnsi="Arial"/>
        </w:rPr>
        <w:t xml:space="preserve">(g) </w:t>
        <w:tab/>
        <w:t xml:space="preserve">that there is/are no pending suit legal proceedings or claims against the Vendor which may affect in any way the Vendor’s title to or the Vendor’s rights to dispose the said Property; </w:t>
      </w:r>
    </w:p>
    <w:p>
      <w:pPr>
        <w:pStyle w:val="Normal"/>
        <w:ind w:hanging="540" w:start="900" w:end="0"/>
        <w:jc w:val="both"/>
        <w:rPr>
          <w:rFonts w:ascii="Arial" w:hAnsi="Arial" w:cs="Arial"/>
        </w:rPr>
      </w:pPr>
      <w:r>
        <w:rPr>
          <w:rFonts w:cs="Arial" w:ascii="Arial" w:hAnsi="Arial"/>
        </w:rPr>
      </w:r>
    </w:p>
    <w:p>
      <w:pPr>
        <w:pStyle w:val="Normal"/>
        <w:ind w:hanging="540" w:start="900" w:end="0"/>
        <w:jc w:val="both"/>
        <w:rPr/>
      </w:pPr>
      <w:r>
        <w:rPr>
          <w:rFonts w:cs="Arial" w:ascii="Arial" w:hAnsi="Arial"/>
        </w:rPr>
        <w:t>(h)</w:t>
        <w:tab/>
        <w:t xml:space="preserve">in the event the said Property is charged to a financial institution and/or bank, the redemption sum shall not exceed the Purchase Price of the said Property; and </w:t>
      </w:r>
    </w:p>
    <w:p>
      <w:pPr>
        <w:pStyle w:val="Normal"/>
        <w:jc w:val="both"/>
        <w:rPr>
          <w:rFonts w:ascii="Arial" w:hAnsi="Arial" w:cs="Arial"/>
        </w:rPr>
      </w:pPr>
      <w:r>
        <w:rPr>
          <w:rFonts w:cs="Arial" w:ascii="Arial" w:hAnsi="Arial"/>
        </w:rPr>
      </w:r>
    </w:p>
    <w:p>
      <w:pPr>
        <w:pStyle w:val="Normal"/>
        <w:ind w:hanging="540" w:start="900" w:end="0"/>
        <w:jc w:val="both"/>
        <w:rPr>
          <w:rFonts w:ascii="Arial" w:hAnsi="Arial" w:cs="Arial"/>
        </w:rPr>
      </w:pPr>
      <w:r>
        <w:rPr>
          <w:rFonts w:cs="Arial" w:ascii="Arial" w:hAnsi="Arial"/>
        </w:rPr>
        <w:t>(i)</w:t>
        <w:tab/>
        <w:t>the representations and warranties referred to herein shall continue to have full force and effect notwithstanding the completion of the purchase of the said Property provided for in this Agreement.</w:t>
      </w:r>
    </w:p>
    <w:p>
      <w:pPr>
        <w:pStyle w:val="Normal"/>
        <w:jc w:val="both"/>
        <w:rPr>
          <w:rFonts w:ascii="Arial" w:hAnsi="Arial" w:cs="Arial"/>
        </w:rPr>
      </w:pPr>
      <w:r>
        <w:rPr>
          <w:rFonts w:cs="Arial" w:ascii="Arial" w:hAnsi="Arial"/>
        </w:rPr>
      </w:r>
    </w:p>
    <w:p>
      <w:pPr>
        <w:pStyle w:val="Normal"/>
        <w:ind w:start="360" w:end="0"/>
        <w:jc w:val="both"/>
        <w:rPr/>
      </w:pPr>
      <w:r>
        <w:rPr>
          <w:rFonts w:cs="Arial" w:ascii="Arial" w:hAnsi="Arial"/>
        </w:rPr>
        <w:t>The truth and correctness of the matters stated in the representations and warranties as set out herein this Agreement shall form the basis of the Purchaser’s commitment to purchase the said Property in accordance with the provisions of this Agreement. If any such representation or warranty shall at any time hereafter be found to have been incorrect in any material aspect then and in such event and notwithstanding anything to the contrary herein contained, the Purchaser shall have the right at their absolute discretion to treat such misrepresentation as a breach on the part of the Vendor and terminate this Agreement and/or the Vendor shall indemnify and keep the Purchaser indemnified against any loss, claims and damages that the Purchaser may suffer as a result of such breach.</w:t>
      </w:r>
    </w:p>
    <w:p>
      <w:pPr>
        <w:pStyle w:val="Normal"/>
        <w:ind w:start="360" w:end="0"/>
        <w:jc w:val="both"/>
        <w:rPr>
          <w:rFonts w:ascii="Arial" w:hAnsi="Arial" w:cs="Arial"/>
        </w:rPr>
      </w:pPr>
      <w:r>
        <w:rPr>
          <w:rFonts w:cs="Arial" w:ascii="Arial" w:hAnsi="Arial"/>
        </w:rPr>
      </w:r>
    </w:p>
    <w:p>
      <w:pPr>
        <w:pStyle w:val="Normal"/>
        <w:ind w:hanging="360" w:start="360" w:end="0"/>
        <w:jc w:val="both"/>
        <w:rPr>
          <w:rFonts w:ascii="Arial" w:hAnsi="Arial" w:cs="Arial"/>
          <w:b/>
          <w:bCs/>
        </w:rPr>
      </w:pPr>
      <w:r>
        <w:rPr>
          <w:rFonts w:cs="Arial" w:ascii="Arial" w:hAnsi="Arial"/>
          <w:b/>
          <w:bCs/>
        </w:rPr>
        <w:t>19.</w:t>
        <w:tab/>
      </w:r>
      <w:r>
        <w:rPr>
          <w:rFonts w:cs="Arial" w:ascii="Arial" w:hAnsi="Arial"/>
          <w:b/>
          <w:bCs/>
          <w:u w:val="single"/>
        </w:rPr>
        <w:t>THE SCHEDULE HERETO TO FORM ESSENTIAL PART OF THIS AGREEMENT</w:t>
      </w:r>
    </w:p>
    <w:p>
      <w:pPr>
        <w:pStyle w:val="Normal"/>
        <w:jc w:val="both"/>
        <w:rPr>
          <w:rFonts w:ascii="Arial" w:hAnsi="Arial" w:cs="Arial"/>
          <w:b/>
          <w:bCs/>
        </w:rPr>
      </w:pPr>
      <w:r>
        <w:rPr>
          <w:rFonts w:cs="Arial" w:ascii="Arial" w:hAnsi="Arial"/>
          <w:b/>
          <w:bCs/>
        </w:rPr>
      </w:r>
    </w:p>
    <w:p>
      <w:pPr>
        <w:pStyle w:val="Normal"/>
        <w:ind w:hanging="360" w:start="360" w:end="0"/>
        <w:jc w:val="both"/>
        <w:rPr>
          <w:rFonts w:ascii="Arial" w:hAnsi="Arial" w:cs="Arial"/>
        </w:rPr>
      </w:pPr>
      <w:r>
        <w:rPr>
          <w:rFonts w:cs="Arial" w:ascii="Arial" w:hAnsi="Arial"/>
        </w:rPr>
        <w:tab/>
        <w:t>The First Schedule, the Second Schedule and the Third Schedule hereto shall be taken read and construed as an essential part of this Agreement.</w:t>
      </w:r>
    </w:p>
    <w:p>
      <w:pPr>
        <w:pStyle w:val="Normal"/>
        <w:tabs>
          <w:tab w:val="clear" w:pos="720"/>
          <w:tab w:val="left" w:pos="953" w:leader="none"/>
        </w:tabs>
        <w:ind w:hanging="360" w:start="360" w:end="0"/>
        <w:jc w:val="both"/>
        <w:rPr>
          <w:rFonts w:ascii="Arial" w:hAnsi="Arial" w:cs="Arial"/>
        </w:rPr>
      </w:pPr>
      <w:r>
        <w:rPr>
          <w:rFonts w:cs="Arial" w:ascii="Arial" w:hAnsi="Arial"/>
        </w:rPr>
        <w:tab/>
        <w:tab/>
      </w:r>
    </w:p>
    <w:p>
      <w:pPr>
        <w:pStyle w:val="Normal"/>
        <w:ind w:hanging="360" w:start="360" w:end="0"/>
        <w:jc w:val="both"/>
        <w:rPr/>
      </w:pPr>
      <w:r>
        <w:rPr>
          <w:rFonts w:cs="Arial" w:ascii="Arial" w:hAnsi="Arial"/>
          <w:b/>
          <w:lang w:eastAsia="zh-CN"/>
        </w:rPr>
        <w:t>20.</w:t>
        <w:tab/>
      </w:r>
      <w:r>
        <w:rPr>
          <w:rFonts w:cs="Arial" w:ascii="Arial" w:hAnsi="Arial"/>
          <w:b/>
          <w:u w:val="single"/>
          <w:lang w:eastAsia="zh-CN"/>
        </w:rPr>
        <w:t>EPIDEMICS OR PANDEMIC RESULTING IN RESTRICTIONS OF MOVEMENTS, LOCKDOWNS, TRAVEL BANS ETC</w:t>
      </w:r>
      <w:r>
        <w:rPr>
          <w:rFonts w:cs="Arial" w:ascii="Arial" w:hAnsi="Arial"/>
          <w:b/>
          <w:lang w:eastAsia="zh-CN"/>
        </w:rPr>
        <w:t xml:space="preserve">  </w:t>
      </w:r>
    </w:p>
    <w:p>
      <w:pPr>
        <w:pStyle w:val="Normal"/>
        <w:ind w:hanging="360" w:start="360" w:end="0"/>
        <w:jc w:val="both"/>
        <w:rPr>
          <w:rFonts w:ascii="Arial" w:hAnsi="Arial" w:cs="Arial"/>
          <w:b/>
          <w:lang w:eastAsia="zh-CN"/>
        </w:rPr>
      </w:pPr>
      <w:r>
        <w:rPr>
          <w:rFonts w:cs="Arial" w:ascii="Arial" w:hAnsi="Arial"/>
          <w:b/>
          <w:lang w:eastAsia="zh-CN"/>
        </w:rPr>
      </w:r>
    </w:p>
    <w:p>
      <w:pPr>
        <w:pStyle w:val="Normal"/>
        <w:ind w:hanging="633" w:start="993" w:end="0"/>
        <w:jc w:val="both"/>
        <w:rPr/>
      </w:pPr>
      <w:commentRangeStart w:id="7"/>
      <w:r>
        <w:rPr>
          <w:rFonts w:cs="Arial" w:ascii="Arial" w:hAnsi="Arial"/>
          <w:bCs/>
          <w:highlight w:val="red"/>
          <w:lang w:eastAsia="zh-CN"/>
        </w:rPr>
        <w:t>20.1</w:t>
        <w:tab/>
        <w:t>For the purpose of this Agreement, in the event of any epidemics or pandemic resulting in any circumstances beyond reasonable control, including without limitation to restrictions of movements, lockdowns, travel bans, state of emergency, and any such circumstances beyond the parties’ reasonable control as may cause interruption of business, loss or malfunction of utilities, transportation, accidents, labor disputes, acts of civil or military authorities, governmental actions, or inability to obtain labor, material, equipment, transportation or other essential services, all undertakings, covenants, obligations and the time period for the performance of the same under this Agreement shall be suspended until the said restrictions and/or interruptions has/have been lifted or removed by such authority(ies). If the restriction shall exceed a period of six (6) months continuously, then the suspending party shall provide the other party with a written notice of any delay or failure to perform that occurs by reason of the said restrictions and/or interruptions due to the epidemics or pandemic.</w:t>
      </w:r>
      <w:commentRangeEnd w:id="7"/>
      <w:r>
        <w:rPr>
          <w:rStyle w:val="CommentReference"/>
        </w:rPr>
        <w:commentReference w:id="7"/>
      </w:r>
    </w:p>
    <w:p>
      <w:pPr>
        <w:pStyle w:val="Normal"/>
        <w:ind w:hanging="633" w:start="993" w:end="0"/>
        <w:jc w:val="both"/>
        <w:rPr>
          <w:rFonts w:ascii="Arial" w:hAnsi="Arial" w:cs="Arial"/>
          <w:bCs/>
          <w:lang w:eastAsia="zh-CN"/>
        </w:rPr>
      </w:pPr>
      <w:r>
        <w:rPr>
          <w:rFonts w:cs="Arial" w:ascii="Arial" w:hAnsi="Arial"/>
          <w:bCs/>
          <w:lang w:eastAsia="zh-CN"/>
        </w:rPr>
      </w:r>
    </w:p>
    <w:p>
      <w:pPr>
        <w:pStyle w:val="Normal"/>
        <w:ind w:hanging="633" w:start="993" w:end="0"/>
        <w:jc w:val="both"/>
        <w:rPr/>
      </w:pPr>
      <w:r>
        <w:rPr>
          <w:rFonts w:cs="Arial" w:ascii="Arial" w:hAnsi="Arial"/>
          <w:bCs/>
          <w:lang w:eastAsia="zh-CN"/>
        </w:rPr>
        <w:t>20.2  No failure or omission by the either party to perform its obligations hereunder by reason of the said restrictions and/or interruptions due to the epidemics or pandemic shall give rise to any claim against the party in question or be deemed a breach of this Agreement.</w:t>
      </w:r>
    </w:p>
    <w:p>
      <w:pPr>
        <w:pStyle w:val="Normal"/>
        <w:tabs>
          <w:tab w:val="clear" w:pos="720"/>
          <w:tab w:val="left" w:pos="1950" w:leader="none"/>
        </w:tabs>
        <w:jc w:val="both"/>
        <w:rPr>
          <w:rFonts w:ascii="Arial" w:hAnsi="Arial" w:cs="Arial"/>
          <w:b/>
          <w:bCs/>
          <w:lang w:eastAsia="zh-CN"/>
        </w:rPr>
      </w:pPr>
      <w:r>
        <w:rPr>
          <w:rFonts w:cs="Arial" w:ascii="Arial" w:hAnsi="Arial"/>
          <w:b/>
          <w:bCs/>
          <w:lang w:eastAsia="zh-CN"/>
        </w:rPr>
      </w:r>
    </w:p>
    <w:p>
      <w:pPr>
        <w:pStyle w:val="Normal"/>
        <w:tabs>
          <w:tab w:val="clear" w:pos="720"/>
          <w:tab w:val="left" w:pos="1950" w:leader="none"/>
        </w:tabs>
        <w:jc w:val="both"/>
        <w:rPr>
          <w:rFonts w:ascii="Arial" w:hAnsi="Arial" w:cs="Arial"/>
          <w:b/>
          <w:bCs/>
        </w:rPr>
      </w:pPr>
      <w:r>
        <w:rPr>
          <w:rFonts w:cs="Arial" w:ascii="Arial" w:hAnsi="Arial"/>
          <w:b/>
          <w:bCs/>
        </w:rPr>
      </w:r>
    </w:p>
    <w:p>
      <w:pPr>
        <w:pStyle w:val="Normal"/>
        <w:tabs>
          <w:tab w:val="clear" w:pos="720"/>
          <w:tab w:val="left" w:pos="1950" w:leader="none"/>
        </w:tabs>
        <w:jc w:val="both"/>
        <w:rPr>
          <w:rFonts w:ascii="Arial" w:hAnsi="Arial" w:cs="Arial"/>
          <w:b/>
          <w:bCs/>
        </w:rPr>
      </w:pPr>
      <w:r>
        <w:rPr>
          <w:rFonts w:cs="Arial" w:ascii="Arial" w:hAnsi="Arial"/>
          <w:b/>
          <w:bCs/>
        </w:rPr>
      </w:r>
    </w:p>
    <w:p>
      <w:pPr>
        <w:pStyle w:val="Normal"/>
        <w:tabs>
          <w:tab w:val="clear" w:pos="720"/>
          <w:tab w:val="left" w:pos="1950" w:leader="none"/>
        </w:tabs>
        <w:jc w:val="both"/>
        <w:rPr>
          <w:rFonts w:ascii="Arial" w:hAnsi="Arial" w:cs="Arial"/>
          <w:b/>
          <w:bCs/>
        </w:rPr>
      </w:pPr>
      <w:r>
        <w:rPr>
          <w:rFonts w:cs="Arial" w:ascii="Arial" w:hAnsi="Arial"/>
          <w:b/>
          <w:bCs/>
        </w:rPr>
      </w:r>
    </w:p>
    <w:p>
      <w:pPr>
        <w:pStyle w:val="Normal"/>
        <w:tabs>
          <w:tab w:val="clear" w:pos="720"/>
          <w:tab w:val="left" w:pos="1950" w:leader="none"/>
        </w:tabs>
        <w:jc w:val="both"/>
        <w:rPr>
          <w:rFonts w:ascii="Arial" w:hAnsi="Arial" w:cs="Arial"/>
          <w:b/>
          <w:bCs/>
        </w:rPr>
      </w:pPr>
      <w:r>
        <w:rPr>
          <w:rFonts w:cs="Arial" w:ascii="Arial" w:hAnsi="Arial"/>
          <w:b/>
          <w:bCs/>
        </w:rPr>
        <w:tab/>
      </w:r>
    </w:p>
    <w:p>
      <w:pPr>
        <w:pStyle w:val="Normal"/>
        <w:tabs>
          <w:tab w:val="clear" w:pos="720"/>
          <w:tab w:val="left" w:pos="360" w:leader="none"/>
        </w:tabs>
        <w:jc w:val="both"/>
        <w:rPr>
          <w:rFonts w:ascii="Arial" w:hAnsi="Arial" w:cs="Arial"/>
          <w:b/>
          <w:bCs/>
        </w:rPr>
      </w:pPr>
      <w:r>
        <w:rPr>
          <w:rFonts w:cs="Arial" w:ascii="Arial" w:hAnsi="Arial"/>
          <w:b/>
          <w:bCs/>
        </w:rPr>
        <w:t>21.</w:t>
        <w:tab/>
      </w:r>
      <w:r>
        <w:rPr>
          <w:rFonts w:cs="Arial" w:ascii="Arial" w:hAnsi="Arial"/>
          <w:b/>
          <w:bCs/>
          <w:u w:val="single"/>
        </w:rPr>
        <w:t>WRITTEN NOTICE REQUIRED</w:t>
      </w:r>
    </w:p>
    <w:p>
      <w:pPr>
        <w:pStyle w:val="Normal"/>
        <w:ind w:hanging="360" w:start="360" w:end="0"/>
        <w:jc w:val="both"/>
        <w:rPr>
          <w:rFonts w:ascii="Arial" w:hAnsi="Arial" w:cs="Arial"/>
          <w:b/>
          <w:bCs/>
        </w:rPr>
      </w:pPr>
      <w:r>
        <w:rPr>
          <w:rFonts w:cs="Arial" w:ascii="Arial" w:hAnsi="Arial"/>
          <w:b/>
          <w:bCs/>
        </w:rPr>
      </w:r>
    </w:p>
    <w:p>
      <w:pPr>
        <w:pStyle w:val="Normal"/>
        <w:ind w:hanging="360" w:start="360" w:end="0"/>
        <w:jc w:val="both"/>
        <w:rPr>
          <w:rFonts w:ascii="Arial" w:hAnsi="Arial" w:cs="Arial"/>
        </w:rPr>
      </w:pPr>
      <w:r>
        <w:rPr>
          <w:rFonts w:cs="Arial" w:ascii="Arial" w:hAnsi="Arial"/>
        </w:rPr>
        <w:tab/>
        <w:t xml:space="preserve">Any notice request or demand required to be served by either party hereto to the other under the provisions of this Agreement shall be in writing and shall be deemed to be sufficiently served: - </w:t>
      </w:r>
    </w:p>
    <w:p>
      <w:pPr>
        <w:pStyle w:val="Normal"/>
        <w:jc w:val="both"/>
        <w:rPr>
          <w:rFonts w:ascii="Arial" w:hAnsi="Arial" w:cs="Arial"/>
        </w:rPr>
      </w:pPr>
      <w:r>
        <w:rPr>
          <w:rFonts w:cs="Arial" w:ascii="Arial" w:hAnsi="Arial"/>
        </w:rPr>
      </w:r>
    </w:p>
    <w:p>
      <w:pPr>
        <w:pStyle w:val="Normal"/>
        <w:ind w:hanging="720" w:start="1080" w:end="0"/>
        <w:jc w:val="both"/>
        <w:rPr/>
      </w:pPr>
      <w:commentRangeStart w:id="34"/>
      <w:r>
        <w:rPr>
          <w:rFonts w:cs="Arial" w:ascii="Arial" w:hAnsi="Arial"/>
          <w:highlight w:val="yellow"/>
        </w:rPr>
        <w:t>(a)</w:t>
        <w:tab/>
        <w:t>if it is given by the party or his or its Solicitors by post in prepaid registered post addressed to the party to be served and in such a case it shall be deemed (whether it is actually delivered or not) to have been received at the times when such letter would in the ordinary course be delivered; or</w:t>
      </w:r>
      <w:commentRangeEnd w:id="34"/>
      <w:r>
        <w:rPr>
          <w:rStyle w:val="CommentReference"/>
        </w:rPr>
        <w:commentReference w:id="34"/>
      </w:r>
    </w:p>
    <w:p>
      <w:pPr>
        <w:pStyle w:val="Normal"/>
        <w:jc w:val="both"/>
        <w:rPr>
          <w:rFonts w:ascii="Arial" w:hAnsi="Arial" w:cs="Arial"/>
        </w:rPr>
      </w:pPr>
      <w:r>
        <w:rPr>
          <w:rFonts w:cs="Arial" w:ascii="Arial" w:hAnsi="Arial"/>
        </w:rPr>
      </w:r>
    </w:p>
    <w:p>
      <w:pPr>
        <w:pStyle w:val="Normal"/>
        <w:ind w:hanging="720" w:start="1080" w:end="0"/>
        <w:jc w:val="both"/>
        <w:rPr>
          <w:rFonts w:ascii="Arial" w:hAnsi="Arial" w:cs="Arial"/>
        </w:rPr>
      </w:pPr>
      <w:r>
        <w:rPr>
          <w:rFonts w:cs="Arial" w:ascii="Arial" w:hAnsi="Arial"/>
        </w:rPr>
        <w:t>(b)</w:t>
        <w:tab/>
        <w:t xml:space="preserve">if it is given by the party or his or its Solicitors and despatched by hand to the party to be served or his or its Solicitors. </w:t>
      </w:r>
    </w:p>
    <w:p>
      <w:pPr>
        <w:pStyle w:val="Normal"/>
        <w:jc w:val="both"/>
        <w:rPr>
          <w:rFonts w:ascii="Arial" w:hAnsi="Arial" w:cs="Arial"/>
        </w:rPr>
      </w:pPr>
      <w:r>
        <w:rPr>
          <w:rFonts w:cs="Arial" w:ascii="Arial" w:hAnsi="Arial"/>
        </w:rPr>
      </w:r>
    </w:p>
    <w:p>
      <w:pPr>
        <w:pStyle w:val="Normal"/>
        <w:tabs>
          <w:tab w:val="clear" w:pos="720"/>
          <w:tab w:val="left" w:pos="360" w:leader="none"/>
        </w:tabs>
        <w:jc w:val="both"/>
        <w:rPr>
          <w:rFonts w:ascii="Arial" w:hAnsi="Arial" w:cs="Arial"/>
          <w:b/>
          <w:bCs/>
        </w:rPr>
      </w:pPr>
      <w:r>
        <w:rPr>
          <w:rFonts w:cs="Arial" w:ascii="Arial" w:hAnsi="Arial"/>
          <w:b/>
          <w:bCs/>
        </w:rPr>
        <w:t>22.</w:t>
        <w:tab/>
      </w:r>
      <w:r>
        <w:rPr>
          <w:rFonts w:cs="Arial" w:ascii="Arial" w:hAnsi="Arial"/>
          <w:b/>
          <w:bCs/>
          <w:u w:val="single"/>
        </w:rPr>
        <w:t>BINDING EFFECT OF AGREEMENT</w:t>
      </w:r>
    </w:p>
    <w:p>
      <w:pPr>
        <w:pStyle w:val="Normal"/>
        <w:jc w:val="both"/>
        <w:rPr>
          <w:rFonts w:ascii="Arial" w:hAnsi="Arial" w:cs="Arial"/>
          <w:b/>
          <w:bCs/>
        </w:rPr>
      </w:pPr>
      <w:r>
        <w:rPr>
          <w:rFonts w:cs="Arial" w:ascii="Arial" w:hAnsi="Arial"/>
          <w:b/>
          <w:bCs/>
        </w:rPr>
      </w:r>
    </w:p>
    <w:p>
      <w:pPr>
        <w:pStyle w:val="Normal"/>
        <w:ind w:hanging="360" w:start="360" w:end="0"/>
        <w:jc w:val="both"/>
        <w:rPr>
          <w:rFonts w:ascii="Arial" w:hAnsi="Arial" w:cs="Arial"/>
        </w:rPr>
      </w:pPr>
      <w:r>
        <w:rPr>
          <w:rFonts w:cs="Arial" w:ascii="Arial" w:hAnsi="Arial"/>
        </w:rPr>
        <w:tab/>
        <w:t>This Agreement shall be binding upon the respective heirs, personal representatives, successors-in-title and permitted assigns of the parties hereto.</w:t>
      </w:r>
    </w:p>
    <w:p>
      <w:pPr>
        <w:pStyle w:val="Normal"/>
        <w:tabs>
          <w:tab w:val="clear" w:pos="720"/>
          <w:tab w:val="left" w:pos="360" w:leader="none"/>
        </w:tabs>
        <w:jc w:val="both"/>
        <w:rPr>
          <w:rFonts w:ascii="Arial" w:hAnsi="Arial" w:cs="Arial"/>
          <w:b/>
          <w:bCs/>
        </w:rPr>
      </w:pPr>
      <w:r>
        <w:rPr>
          <w:rFonts w:cs="Arial" w:ascii="Arial" w:hAnsi="Arial"/>
          <w:b/>
          <w:bCs/>
        </w:rPr>
      </w:r>
    </w:p>
    <w:p>
      <w:pPr>
        <w:pStyle w:val="Normal"/>
        <w:tabs>
          <w:tab w:val="clear" w:pos="720"/>
          <w:tab w:val="left" w:pos="360" w:leader="none"/>
        </w:tabs>
        <w:jc w:val="both"/>
        <w:rPr/>
      </w:pPr>
      <w:r>
        <w:rPr>
          <w:rFonts w:cs="Arial" w:ascii="Arial" w:hAnsi="Arial"/>
          <w:b/>
          <w:bCs/>
        </w:rPr>
        <w:t>23.</w:t>
        <w:tab/>
      </w:r>
      <w:r>
        <w:rPr>
          <w:rFonts w:cs="Arial" w:ascii="Arial" w:hAnsi="Arial"/>
          <w:b/>
          <w:bCs/>
          <w:u w:val="single"/>
        </w:rPr>
        <w:t>PROPERTY SOLD ON “AS IS WHERE IS” BASIS</w:t>
      </w:r>
    </w:p>
    <w:p>
      <w:pPr>
        <w:pStyle w:val="Normal"/>
        <w:tabs>
          <w:tab w:val="clear" w:pos="720"/>
          <w:tab w:val="left" w:pos="360" w:leader="none"/>
        </w:tabs>
        <w:jc w:val="both"/>
        <w:rPr>
          <w:rFonts w:ascii="Arial" w:hAnsi="Arial" w:cs="Arial"/>
          <w:b/>
          <w:bCs/>
          <w:u w:val="single"/>
        </w:rPr>
      </w:pPr>
      <w:r>
        <w:rPr>
          <w:rFonts w:cs="Arial" w:ascii="Arial" w:hAnsi="Arial"/>
          <w:b/>
          <w:bCs/>
          <w:u w:val="single"/>
        </w:rPr>
      </w:r>
    </w:p>
    <w:p>
      <w:pPr>
        <w:pStyle w:val="Normal"/>
        <w:tabs>
          <w:tab w:val="clear" w:pos="720"/>
          <w:tab w:val="left" w:pos="360" w:leader="none"/>
        </w:tabs>
        <w:ind w:hanging="360" w:start="360" w:end="0"/>
        <w:jc w:val="both"/>
        <w:rPr/>
      </w:pPr>
      <w:commentRangeStart w:id="11"/>
      <w:r>
        <w:rPr>
          <w:rFonts w:cs="Arial" w:ascii="Arial" w:hAnsi="Arial"/>
          <w:highlight w:val="red"/>
        </w:rPr>
        <w:tab/>
        <w:t>The Purchaser hereby acknowledges and agrees that the said Property is sold by the Vendor to the Purchaser on an “as is where is” basis and in its present state and conditions and that the Purchaser has satisfied himself by examining and inspecting the said Property and having inspected the said Property the Purchaser shall take the same in the condition in which it now is and the Purchaser shall not be entitled to make any claim for compensation or reduction of the Purchase Price or claim for any damages in respect of the conditions of the state of the said Property. The parties hereto hereby confirm that the Vendor’s Solicitors and/or the Purchaser’s Solicitors have no knowledge of the state and condition of the said Property and the Solicitors rely solely upon the information provided by the parties hereto in preparation of this Agreement. The parties hereto agree and undertake not to hold the Vendor’s Solicitors and/or the Purchaser’s Solicitors liable in the event of any incorrectness of the details and/or state and condition of the said Property.</w:t>
      </w:r>
      <w:commentRangeEnd w:id="11"/>
      <w:r>
        <w:rPr>
          <w:rStyle w:val="CommentReference"/>
        </w:rPr>
        <w:commentReference w:id="11"/>
      </w:r>
    </w:p>
    <w:p>
      <w:pPr>
        <w:pStyle w:val="Normal"/>
        <w:tabs>
          <w:tab w:val="clear" w:pos="720"/>
          <w:tab w:val="left" w:pos="360" w:leader="none"/>
        </w:tabs>
        <w:ind w:hanging="360" w:start="360" w:end="0"/>
        <w:jc w:val="both"/>
        <w:rPr>
          <w:rFonts w:ascii="Arial" w:hAnsi="Arial" w:cs="Arial"/>
        </w:rPr>
      </w:pPr>
      <w:r>
        <w:rPr>
          <w:rFonts w:cs="Arial" w:ascii="Arial" w:hAnsi="Arial"/>
        </w:rPr>
      </w:r>
    </w:p>
    <w:p>
      <w:pPr>
        <w:pStyle w:val="Normal"/>
        <w:tabs>
          <w:tab w:val="clear" w:pos="720"/>
          <w:tab w:val="left" w:pos="360" w:leader="none"/>
        </w:tabs>
        <w:ind w:hanging="360" w:start="360" w:end="0"/>
        <w:jc w:val="both"/>
        <w:rPr>
          <w:rFonts w:ascii="Arial" w:hAnsi="Arial" w:cs="Arial"/>
          <w:b/>
          <w:bCs/>
        </w:rPr>
      </w:pPr>
      <w:r>
        <w:rPr>
          <w:rFonts w:cs="Arial" w:ascii="Arial" w:hAnsi="Arial"/>
          <w:b/>
          <w:bCs/>
        </w:rPr>
        <w:t>24.</w:t>
        <w:tab/>
      </w:r>
      <w:r>
        <w:rPr>
          <w:rFonts w:cs="Arial" w:ascii="Arial" w:hAnsi="Arial"/>
          <w:b/>
          <w:bCs/>
          <w:u w:val="single"/>
        </w:rPr>
        <w:t>DECLARATIONS</w:t>
      </w:r>
    </w:p>
    <w:p>
      <w:pPr>
        <w:pStyle w:val="Normal"/>
        <w:tabs>
          <w:tab w:val="clear" w:pos="720"/>
          <w:tab w:val="left" w:pos="360" w:leader="none"/>
        </w:tabs>
        <w:jc w:val="both"/>
        <w:rPr>
          <w:rFonts w:ascii="Arial" w:hAnsi="Arial" w:cs="Arial"/>
          <w:b/>
          <w:bCs/>
        </w:rPr>
      </w:pPr>
      <w:r>
        <w:rPr>
          <w:rFonts w:cs="Arial" w:ascii="Arial" w:hAnsi="Arial"/>
          <w:b/>
          <w:bCs/>
        </w:rPr>
      </w:r>
    </w:p>
    <w:p>
      <w:pPr>
        <w:pStyle w:val="Normal"/>
        <w:ind w:start="360" w:end="0"/>
        <w:jc w:val="both"/>
        <w:rPr>
          <w:rFonts w:ascii="Arial" w:hAnsi="Arial" w:cs="Arial"/>
          <w:lang w:val="en-GB"/>
        </w:rPr>
      </w:pPr>
      <w:r>
        <w:rPr>
          <w:rFonts w:cs="Arial" w:ascii="Arial" w:hAnsi="Arial"/>
          <w:lang w:val="en-GB"/>
        </w:rPr>
        <w:t>The parties declare confirm and represent to each other that neither of them is an undischarged bankrupt. In the case of a limited company or other corporation any reference to bankruptcy shall be deemed to be a reference to liquidation or other analogous proceedings.</w:t>
      </w:r>
    </w:p>
    <w:p>
      <w:pPr>
        <w:pStyle w:val="Normal"/>
        <w:tabs>
          <w:tab w:val="clear" w:pos="720"/>
          <w:tab w:val="left" w:pos="360" w:leader="none"/>
        </w:tabs>
        <w:jc w:val="both"/>
        <w:rPr>
          <w:rFonts w:ascii="Arial" w:hAnsi="Arial" w:cs="Arial"/>
          <w:b/>
          <w:bCs/>
          <w:lang w:val="en-GB"/>
        </w:rPr>
      </w:pPr>
      <w:r>
        <w:rPr>
          <w:rFonts w:cs="Arial" w:ascii="Arial" w:hAnsi="Arial"/>
          <w:b/>
          <w:bCs/>
          <w:lang w:val="en-GB"/>
        </w:rPr>
      </w:r>
    </w:p>
    <w:p>
      <w:pPr>
        <w:pStyle w:val="Normal"/>
        <w:tabs>
          <w:tab w:val="clear" w:pos="720"/>
          <w:tab w:val="left" w:pos="360" w:leader="none"/>
        </w:tabs>
        <w:ind w:hanging="360" w:start="360" w:end="0"/>
        <w:jc w:val="both"/>
        <w:rPr>
          <w:rFonts w:ascii="Arial" w:hAnsi="Arial" w:cs="Arial"/>
          <w:b/>
          <w:bCs/>
        </w:rPr>
      </w:pPr>
      <w:r>
        <w:rPr>
          <w:rFonts w:cs="Arial" w:ascii="Arial" w:hAnsi="Arial"/>
          <w:b/>
          <w:bCs/>
        </w:rPr>
        <w:t>25.</w:t>
        <w:tab/>
      </w:r>
      <w:r>
        <w:rPr>
          <w:rFonts w:cs="Arial" w:ascii="Arial" w:hAnsi="Arial"/>
          <w:b/>
          <w:bCs/>
          <w:u w:val="single"/>
        </w:rPr>
        <w:t>SEVERABILITY</w:t>
      </w:r>
    </w:p>
    <w:p>
      <w:pPr>
        <w:pStyle w:val="BodyTextIndent2"/>
        <w:ind w:hanging="0" w:start="0" w:end="0"/>
        <w:rPr>
          <w:rFonts w:ascii="Arial" w:hAnsi="Arial" w:cs="Arial"/>
          <w:b/>
          <w:bCs/>
          <w:sz w:val="22"/>
          <w:lang w:val="en-GB"/>
        </w:rPr>
      </w:pPr>
      <w:r>
        <w:rPr>
          <w:rFonts w:cs="Arial" w:ascii="Arial" w:hAnsi="Arial"/>
          <w:b/>
          <w:bCs/>
          <w:sz w:val="22"/>
          <w:lang w:val="en-GB"/>
        </w:rPr>
      </w:r>
    </w:p>
    <w:p>
      <w:pPr>
        <w:pStyle w:val="Normal"/>
        <w:ind w:start="360" w:end="0"/>
        <w:jc w:val="both"/>
        <w:rPr/>
      </w:pPr>
      <w:r>
        <w:rPr>
          <w:rFonts w:cs="Arial" w:ascii="Arial" w:hAnsi="Arial"/>
          <w:lang w:val="en-GB"/>
        </w:rPr>
        <w:t>Any  term, condition, stipulation, provision, covenant or undertaking of this Agreement which is illegal, void, prohibited or unenforceable shall be ineffective to the extent of such illegality, voidness, prohibition or unenforceability without invalidating the remaining provisions hereof, and any such illegality, voidness, prohibition or unenforceability shall not invalidate or render illegal void or unenforceable any other terms, conditions, stipulation, provisions, covenants or undertaking herein contained.</w:t>
      </w:r>
    </w:p>
    <w:p>
      <w:pPr>
        <w:pStyle w:val="Normal"/>
        <w:tabs>
          <w:tab w:val="clear" w:pos="720"/>
          <w:tab w:val="left" w:pos="360" w:leader="none"/>
        </w:tabs>
        <w:ind w:firstLine="720" w:end="0"/>
        <w:jc w:val="both"/>
        <w:rPr>
          <w:rFonts w:ascii="Arial" w:hAnsi="Arial" w:cs="Arial"/>
          <w:b/>
          <w:bCs/>
          <w:lang w:val="en-GB"/>
        </w:rPr>
      </w:pPr>
      <w:r>
        <w:rPr>
          <w:rFonts w:cs="Arial" w:ascii="Arial" w:hAnsi="Arial"/>
          <w:b/>
          <w:bCs/>
          <w:lang w:val="en-GB"/>
        </w:rPr>
      </w:r>
    </w:p>
    <w:p>
      <w:pPr>
        <w:pStyle w:val="Normal"/>
        <w:tabs>
          <w:tab w:val="clear" w:pos="720"/>
          <w:tab w:val="left" w:pos="360" w:leader="none"/>
        </w:tabs>
        <w:ind w:hanging="360" w:start="360" w:end="0"/>
        <w:jc w:val="both"/>
        <w:rPr>
          <w:rFonts w:ascii="Arial" w:hAnsi="Arial" w:cs="Arial"/>
          <w:b/>
          <w:bCs/>
        </w:rPr>
      </w:pPr>
      <w:r>
        <w:rPr>
          <w:rFonts w:cs="Arial" w:ascii="Arial" w:hAnsi="Arial"/>
          <w:b/>
          <w:bCs/>
        </w:rPr>
        <w:t>26.</w:t>
        <w:tab/>
      </w:r>
      <w:r>
        <w:rPr>
          <w:rFonts w:cs="Arial" w:ascii="Arial" w:hAnsi="Arial"/>
          <w:b/>
          <w:bCs/>
          <w:u w:val="single"/>
        </w:rPr>
        <w:t>KNOWLEDGE OR ACQUIESCENCE</w:t>
      </w:r>
    </w:p>
    <w:p>
      <w:pPr>
        <w:pStyle w:val="Heading3"/>
        <w:ind w:hanging="0" w:start="0"/>
        <w:rPr>
          <w:rFonts w:ascii="Arial" w:hAnsi="Arial" w:cs="Arial"/>
          <w:b w:val="false"/>
          <w:bCs w:val="false"/>
          <w:sz w:val="22"/>
        </w:rPr>
      </w:pPr>
      <w:r>
        <w:rPr>
          <w:rFonts w:cs="Arial" w:ascii="Arial" w:hAnsi="Arial"/>
          <w:b w:val="false"/>
          <w:bCs w:val="false"/>
          <w:sz w:val="22"/>
        </w:rPr>
      </w:r>
    </w:p>
    <w:p>
      <w:pPr>
        <w:pStyle w:val="Normal"/>
        <w:ind w:start="360" w:end="0"/>
        <w:jc w:val="both"/>
        <w:rPr/>
      </w:pPr>
      <w:r>
        <w:rPr>
          <w:rFonts w:cs="Arial" w:ascii="Arial" w:hAnsi="Arial"/>
        </w:rPr>
        <w:t>Knowledge or acquiescence by either party of any breach of any of the terms, conditions or covenants herein contained shall not operate as or be deemed to be waiver of such terms, conditions or covenants or any of them and notwithstanding such knowledge or acquiescence such party shall be entitled to exercise its rights under this Agreement and to require strict performance by the other party of the terms, conditions and covenants herein.</w:t>
      </w:r>
    </w:p>
    <w:p>
      <w:pPr>
        <w:pStyle w:val="Normal"/>
        <w:tabs>
          <w:tab w:val="clear" w:pos="720"/>
          <w:tab w:val="left" w:pos="360" w:leader="none"/>
        </w:tabs>
        <w:jc w:val="both"/>
        <w:rPr>
          <w:rFonts w:ascii="Arial" w:hAnsi="Arial" w:cs="Arial"/>
          <w:b/>
          <w:bCs/>
        </w:rPr>
      </w:pPr>
      <w:r>
        <w:rPr>
          <w:rFonts w:cs="Arial" w:ascii="Arial" w:hAnsi="Arial"/>
          <w:b/>
          <w:bCs/>
        </w:rPr>
      </w:r>
    </w:p>
    <w:p>
      <w:pPr>
        <w:pStyle w:val="Normal"/>
        <w:ind w:hanging="360" w:start="360" w:end="0"/>
        <w:jc w:val="both"/>
        <w:rPr/>
      </w:pPr>
      <w:r>
        <w:rPr>
          <w:rFonts w:cs="Arial" w:ascii="Arial" w:hAnsi="Arial"/>
          <w:b/>
        </w:rPr>
        <w:t xml:space="preserve">27. </w:t>
      </w:r>
      <w:r>
        <w:rPr>
          <w:rFonts w:cs="Arial" w:ascii="Arial" w:hAnsi="Arial"/>
          <w:b/>
          <w:u w:val="single"/>
        </w:rPr>
        <w:t>FORCE  MAJEURE</w:t>
      </w:r>
    </w:p>
    <w:p>
      <w:pPr>
        <w:pStyle w:val="Normal"/>
        <w:jc w:val="both"/>
        <w:rPr>
          <w:rFonts w:ascii="Arial" w:hAnsi="Arial" w:cs="Arial"/>
          <w:b/>
          <w:sz w:val="28"/>
          <w:u w:val="single"/>
        </w:rPr>
      </w:pPr>
      <w:r>
        <w:rPr>
          <w:rFonts w:cs="Arial" w:ascii="Arial" w:hAnsi="Arial"/>
          <w:b/>
          <w:sz w:val="28"/>
          <w:u w:val="single"/>
        </w:rPr>
      </w:r>
    </w:p>
    <w:p>
      <w:pPr>
        <w:pStyle w:val="Normal"/>
        <w:ind w:hanging="360" w:start="360" w:end="0"/>
        <w:jc w:val="both"/>
        <w:rPr>
          <w:rFonts w:ascii="Arial" w:hAnsi="Arial" w:cs="Arial"/>
        </w:rPr>
      </w:pPr>
      <w:r>
        <w:rPr>
          <w:rFonts w:cs="Arial" w:ascii="Arial" w:hAnsi="Arial"/>
        </w:rPr>
        <w:tab/>
        <w:t>If before the delivery of vacant possession of the said Property, the said Property shall be destroyed or damaged by fire or any other cause beyond the control of the Purchaser or compulsorily acquired by the Government, the Purchaser shall be entitled to terminate this Agreement and within ten (10) working days upon such termination the Vendor shall on demand refund to the Purchaser free of interest all monies paid by the Purchaser hereunder failing which the Vendor shall pay to the Purchaser interest at the rate of 8% per annum calculated om daily basis until full settlement thereof in exchange for the return of all the relevant documents delivered to the Purchaser in their original condition and with the interest of the Vendor in the said Property intact whereupon this Agreement shall thereafter become null and void and be of no further effect.</w:t>
      </w:r>
    </w:p>
    <w:p>
      <w:pPr>
        <w:pStyle w:val="Normal"/>
        <w:ind w:hanging="360" w:start="360" w:end="0"/>
        <w:jc w:val="both"/>
        <w:rPr>
          <w:rFonts w:ascii="Arial" w:hAnsi="Arial" w:cs="Arial"/>
        </w:rPr>
      </w:pPr>
      <w:r>
        <w:rPr>
          <w:rFonts w:cs="Arial" w:ascii="Arial" w:hAnsi="Arial"/>
        </w:rPr>
      </w:r>
    </w:p>
    <w:p>
      <w:pPr>
        <w:pStyle w:val="Normal"/>
        <w:ind w:start="360" w:end="0"/>
        <w:jc w:val="both"/>
        <w:rPr>
          <w:rFonts w:ascii="Arial" w:hAnsi="Arial" w:cs="Arial"/>
          <w:iCs/>
        </w:rPr>
      </w:pPr>
      <w:commentRangeStart w:id="8"/>
      <w:r>
        <w:rPr>
          <w:rFonts w:cs="Arial" w:ascii="Arial" w:hAnsi="Arial"/>
          <w:iCs/>
          <w:highlight w:val="red"/>
        </w:rPr>
        <w:t>Notwithstanding anything to the contrary contained herein, neither party shall be liable to the other for any delay in performing its respective obligations set forth herein which result from causes beyond the control of the parties, including but not limited to acts of God, acts of civil or military authority, fire, strikes, revolution, rebellion, riots, civil commotion or other civil disturbances, lockouts, war, epidemics, pandemic, storms, typhoons, floods, governmental rules, regulations, restrictions or restrictive orders, governmental departments and agencies lockdown, etc (hereinafter referred to as “</w:t>
      </w:r>
      <w:r>
        <w:rPr>
          <w:rFonts w:cs="Arial" w:ascii="Arial" w:hAnsi="Arial"/>
          <w:b/>
          <w:iCs/>
          <w:highlight w:val="red"/>
        </w:rPr>
        <w:t>the Force Majeure Event</w:t>
      </w:r>
      <w:r>
        <w:rPr>
          <w:rFonts w:cs="Arial" w:ascii="Arial" w:hAnsi="Arial"/>
          <w:iCs/>
          <w:highlight w:val="red"/>
        </w:rPr>
        <w:t>”).</w:t>
      </w:r>
      <w:commentRangeEnd w:id="8"/>
      <w:r>
        <w:rPr>
          <w:rStyle w:val="CommentReference"/>
        </w:rPr>
        <w:commentReference w:id="8"/>
      </w:r>
    </w:p>
    <w:p>
      <w:pPr>
        <w:pStyle w:val="Normal"/>
        <w:ind w:hanging="360" w:start="360" w:end="0"/>
        <w:jc w:val="both"/>
        <w:rPr>
          <w:rFonts w:ascii="Arial" w:hAnsi="Arial" w:cs="Arial"/>
          <w:iCs/>
        </w:rPr>
      </w:pPr>
      <w:r>
        <w:rPr>
          <w:rFonts w:cs="Arial" w:ascii="Arial" w:hAnsi="Arial"/>
          <w:iCs/>
        </w:rPr>
        <w:tab/>
      </w:r>
    </w:p>
    <w:p>
      <w:pPr>
        <w:pStyle w:val="Normal"/>
        <w:ind w:hanging="360" w:start="360" w:end="0"/>
        <w:jc w:val="both"/>
        <w:rPr>
          <w:rFonts w:ascii="Arial" w:hAnsi="Arial" w:cs="Arial"/>
          <w:iCs/>
        </w:rPr>
      </w:pPr>
      <w:r>
        <w:rPr>
          <w:rFonts w:cs="Arial" w:ascii="Arial" w:hAnsi="Arial"/>
          <w:iCs/>
        </w:rPr>
        <w:tab/>
        <w:t>In the event of any Force Majeure Event, the time for any performances shall be extended for a period equal at least to the time lost by reason of such Force Majeure Event, and each party shall take all reasonable measures to minimize such delay.</w:t>
      </w:r>
    </w:p>
    <w:p>
      <w:pPr>
        <w:pStyle w:val="Normal"/>
        <w:ind w:hanging="360" w:start="360" w:end="0"/>
        <w:jc w:val="both"/>
        <w:rPr>
          <w:rFonts w:ascii="Arial" w:hAnsi="Arial" w:cs="Arial"/>
          <w:iCs/>
        </w:rPr>
      </w:pPr>
      <w:r>
        <w:rPr>
          <w:rFonts w:cs="Arial" w:ascii="Arial" w:hAnsi="Arial"/>
          <w:iCs/>
        </w:rPr>
      </w:r>
    </w:p>
    <w:p>
      <w:pPr>
        <w:pStyle w:val="Normal"/>
        <w:ind w:hanging="360" w:start="360" w:end="0"/>
        <w:jc w:val="both"/>
        <w:rPr/>
      </w:pPr>
      <w:r>
        <w:rPr>
          <w:rFonts w:cs="Arial" w:ascii="Arial" w:hAnsi="Arial"/>
          <w:iCs/>
        </w:rPr>
        <w:tab/>
        <w:t xml:space="preserve">In the event that a Force Majeure Event shall continue for a period of six (6) months and either party reasonably considers: - </w:t>
      </w:r>
    </w:p>
    <w:p>
      <w:pPr>
        <w:pStyle w:val="Normal"/>
        <w:ind w:hanging="1134" w:start="1134" w:end="0"/>
        <w:jc w:val="both"/>
        <w:rPr>
          <w:rFonts w:ascii="Arial" w:hAnsi="Arial" w:cs="Arial"/>
          <w:iCs/>
        </w:rPr>
      </w:pPr>
      <w:r>
        <w:rPr>
          <w:rFonts w:cs="Arial" w:ascii="Arial" w:hAnsi="Arial"/>
          <w:iCs/>
        </w:rPr>
      </w:r>
    </w:p>
    <w:p>
      <w:pPr>
        <w:pStyle w:val="Normal"/>
        <w:ind w:hanging="1134" w:start="1134" w:end="0"/>
        <w:jc w:val="both"/>
        <w:rPr>
          <w:rFonts w:ascii="Arial" w:hAnsi="Arial" w:cs="Arial"/>
          <w:iCs/>
        </w:rPr>
      </w:pPr>
      <w:r>
        <w:rPr>
          <w:rFonts w:eastAsia="Arial" w:cs="Arial" w:ascii="Arial" w:hAnsi="Arial"/>
          <w:iCs/>
        </w:rPr>
        <w:t xml:space="preserve">         </w:t>
      </w:r>
      <w:r>
        <w:rPr>
          <w:rFonts w:cs="Arial" w:ascii="Arial" w:hAnsi="Arial"/>
          <w:iCs/>
        </w:rPr>
        <w:t xml:space="preserve">(i) </w:t>
        <w:tab/>
        <w:t xml:space="preserve">that such Force Majeure Event to be so severe; or </w:t>
      </w:r>
    </w:p>
    <w:p>
      <w:pPr>
        <w:pStyle w:val="Normal"/>
        <w:ind w:hanging="1134" w:start="1134" w:end="0"/>
        <w:jc w:val="both"/>
        <w:rPr>
          <w:rFonts w:ascii="Arial" w:hAnsi="Arial" w:cs="Arial"/>
          <w:iCs/>
        </w:rPr>
      </w:pPr>
      <w:r>
        <w:rPr>
          <w:rFonts w:cs="Arial" w:ascii="Arial" w:hAnsi="Arial"/>
          <w:iCs/>
        </w:rPr>
      </w:r>
    </w:p>
    <w:p>
      <w:pPr>
        <w:pStyle w:val="Normal"/>
        <w:ind w:hanging="1134" w:start="1134" w:end="0"/>
        <w:jc w:val="both"/>
        <w:rPr>
          <w:rFonts w:ascii="Arial" w:hAnsi="Arial" w:cs="Arial"/>
          <w:iCs/>
        </w:rPr>
      </w:pPr>
      <w:r>
        <w:rPr>
          <w:rFonts w:eastAsia="Arial" w:cs="Arial" w:ascii="Arial" w:hAnsi="Arial"/>
          <w:iCs/>
        </w:rPr>
        <w:t xml:space="preserve">         </w:t>
      </w:r>
      <w:r>
        <w:rPr>
          <w:rFonts w:cs="Arial" w:ascii="Arial" w:hAnsi="Arial"/>
          <w:iCs/>
        </w:rPr>
        <w:t xml:space="preserve">(ii) </w:t>
        <w:tab/>
        <w:t>that such Force Majeure Event shall continue for a further period so as to effectively frustrate this Agreement, then such party may terminate this Agreement by giving a fourteen (14) working days’ notice in writing to the other without prejudice to the rights or remedies of either party against the other for any antecedent breach.</w:t>
      </w:r>
    </w:p>
    <w:p>
      <w:pPr>
        <w:pStyle w:val="Normal"/>
        <w:tabs>
          <w:tab w:val="clear" w:pos="720"/>
          <w:tab w:val="left" w:pos="1883" w:leader="none"/>
        </w:tabs>
        <w:jc w:val="both"/>
        <w:rPr>
          <w:rFonts w:ascii="Arial" w:hAnsi="Arial" w:cs="Arial"/>
          <w:b/>
          <w:bCs/>
          <w:iCs/>
        </w:rPr>
      </w:pPr>
      <w:r>
        <w:rPr>
          <w:rFonts w:cs="Arial" w:ascii="Arial" w:hAnsi="Arial"/>
          <w:b/>
          <w:bCs/>
          <w:iCs/>
        </w:rPr>
      </w:r>
    </w:p>
    <w:p>
      <w:pPr>
        <w:pStyle w:val="Normal"/>
        <w:tabs>
          <w:tab w:val="clear" w:pos="720"/>
          <w:tab w:val="left" w:pos="1883" w:leader="none"/>
        </w:tabs>
        <w:jc w:val="both"/>
        <w:rPr>
          <w:rFonts w:ascii="Arial" w:hAnsi="Arial" w:cs="Arial"/>
          <w:b/>
          <w:bCs/>
        </w:rPr>
      </w:pPr>
      <w:r>
        <w:rPr>
          <w:rFonts w:cs="Arial" w:ascii="Arial" w:hAnsi="Arial"/>
          <w:b/>
          <w:bCs/>
        </w:rPr>
      </w:r>
    </w:p>
    <w:p>
      <w:pPr>
        <w:pStyle w:val="Normal"/>
        <w:tabs>
          <w:tab w:val="clear" w:pos="720"/>
          <w:tab w:val="left" w:pos="360" w:leader="none"/>
        </w:tabs>
        <w:jc w:val="both"/>
        <w:rPr>
          <w:rFonts w:ascii="Arial" w:hAnsi="Arial" w:cs="Arial"/>
          <w:b/>
          <w:bCs/>
        </w:rPr>
      </w:pPr>
      <w:r>
        <w:rPr>
          <w:rFonts w:cs="Arial" w:ascii="Arial" w:hAnsi="Arial"/>
          <w:b/>
          <w:bCs/>
        </w:rPr>
        <w:t>28.</w:t>
        <w:tab/>
      </w:r>
      <w:r>
        <w:rPr>
          <w:rFonts w:cs="Arial" w:ascii="Arial" w:hAnsi="Arial"/>
          <w:b/>
          <w:bCs/>
          <w:szCs w:val="20"/>
          <w:u w:val="single"/>
          <w:lang w:val="en-GB"/>
        </w:rPr>
        <w:t>AREA OF THE SAID PROPERTY</w:t>
      </w:r>
      <w:r>
        <w:rPr>
          <w:rFonts w:cs="Arial" w:ascii="Arial" w:hAnsi="Arial"/>
          <w:b/>
          <w:bCs/>
          <w:u w:val="single"/>
        </w:rPr>
        <w:t xml:space="preserve"> </w:t>
      </w:r>
    </w:p>
    <w:p>
      <w:pPr>
        <w:pStyle w:val="Normal"/>
        <w:jc w:val="both"/>
        <w:rPr>
          <w:rFonts w:ascii="Arial" w:hAnsi="Arial" w:cs="Arial"/>
          <w:b/>
          <w:bCs/>
        </w:rPr>
      </w:pPr>
      <w:r>
        <w:rPr>
          <w:rFonts w:cs="Arial" w:ascii="Arial" w:hAnsi="Arial"/>
          <w:b/>
          <w:bCs/>
        </w:rPr>
      </w:r>
    </w:p>
    <w:p>
      <w:pPr>
        <w:pStyle w:val="Normal"/>
        <w:ind w:start="360" w:end="0"/>
        <w:jc w:val="both"/>
        <w:rPr/>
      </w:pPr>
      <w:commentRangeStart w:id="12"/>
      <w:r>
        <w:rPr>
          <w:rFonts w:cs="Arial" w:ascii="Arial" w:hAnsi="Arial"/>
          <w:szCs w:val="20"/>
          <w:highlight w:val="red"/>
          <w:lang w:val="en-GB"/>
        </w:rPr>
        <w:t xml:space="preserve">It is expressly agreed and declared that the measurements and area of the said Property as shown in the Strata Title are believed but not guaranteed to be correct and the area of the said Property has been stated in accordance with the Strata Title. The parties hereto hereby agree and declare that in the event the actual measurements, boundaries and area of the said Property shall be different from the measurements, boundaries and area as shown on the Strata Title, no such discrepancy shall annul the sale and purchase herein and no adjustment shall be made on the Purchase Price arising from the said discrepancy. </w:t>
      </w:r>
      <w:commentRangeEnd w:id="12"/>
      <w:r>
        <w:rPr>
          <w:rStyle w:val="CommentReference"/>
        </w:rPr>
        <w:commentReference w:id="12"/>
      </w:r>
    </w:p>
    <w:p>
      <w:pPr>
        <w:pStyle w:val="Normal"/>
        <w:widowControl w:val="false"/>
        <w:tabs>
          <w:tab w:val="clear" w:pos="720"/>
          <w:tab w:val="left" w:pos="851" w:leader="none"/>
        </w:tabs>
        <w:autoSpaceDE w:val="false"/>
        <w:rPr>
          <w:rFonts w:ascii="Arial" w:hAnsi="Arial" w:cs="Arial"/>
          <w:b/>
          <w:szCs w:val="20"/>
          <w:lang w:val="en-GB"/>
        </w:rPr>
      </w:pPr>
      <w:r>
        <w:rPr>
          <w:rFonts w:cs="Arial" w:ascii="Arial" w:hAnsi="Arial"/>
          <w:b/>
          <w:szCs w:val="20"/>
          <w:lang w:val="en-GB"/>
        </w:rPr>
      </w:r>
    </w:p>
    <w:p>
      <w:pPr>
        <w:pStyle w:val="Normal"/>
        <w:widowControl w:val="false"/>
        <w:tabs>
          <w:tab w:val="clear" w:pos="720"/>
          <w:tab w:val="left" w:pos="851" w:leader="none"/>
        </w:tabs>
        <w:autoSpaceDE w:val="false"/>
        <w:rPr>
          <w:rFonts w:ascii="Arial" w:hAnsi="Arial" w:cs="Arial"/>
          <w:szCs w:val="20"/>
          <w:lang w:val="en-GB"/>
        </w:rPr>
      </w:pPr>
      <w:r>
        <w:rPr>
          <w:rFonts w:cs="Arial" w:ascii="Arial" w:hAnsi="Arial"/>
          <w:b/>
        </w:rPr>
        <w:t xml:space="preserve">29. </w:t>
      </w:r>
      <w:r>
        <w:rPr>
          <w:rFonts w:cs="Arial" w:ascii="Arial" w:hAnsi="Arial"/>
          <w:b/>
          <w:bCs/>
          <w:u w:val="single"/>
        </w:rPr>
        <w:t>DEFINITIONS AND INTERPRETATIONS</w:t>
      </w:r>
    </w:p>
    <w:p>
      <w:pPr>
        <w:pStyle w:val="Normal"/>
        <w:jc w:val="both"/>
        <w:rPr>
          <w:rFonts w:ascii="Arial" w:hAnsi="Arial" w:cs="Arial"/>
          <w:szCs w:val="20"/>
          <w:lang w:val="en-GB"/>
        </w:rPr>
      </w:pPr>
      <w:r>
        <w:rPr>
          <w:rFonts w:cs="Arial" w:ascii="Arial" w:hAnsi="Arial"/>
          <w:szCs w:val="20"/>
          <w:lang w:val="en-GB"/>
        </w:rPr>
      </w:r>
    </w:p>
    <w:p>
      <w:pPr>
        <w:pStyle w:val="Normal"/>
        <w:ind w:start="360" w:end="0"/>
        <w:jc w:val="both"/>
        <w:rPr>
          <w:rFonts w:ascii="Arial" w:hAnsi="Arial" w:cs="Arial"/>
        </w:rPr>
      </w:pPr>
      <w:r>
        <w:rPr>
          <w:rFonts w:cs="Arial" w:ascii="Arial" w:hAnsi="Arial"/>
        </w:rPr>
        <w:t xml:space="preserve">In this Agreement, unless there is something in the subject or context inconsistent with such construction or unless it is otherwise expressly provided: - </w:t>
      </w:r>
    </w:p>
    <w:p>
      <w:pPr>
        <w:pStyle w:val="Normal"/>
        <w:jc w:val="both"/>
        <w:rPr>
          <w:rFonts w:ascii="Arial" w:hAnsi="Arial" w:cs="Arial"/>
        </w:rPr>
      </w:pPr>
      <w:r>
        <w:rPr>
          <w:rFonts w:cs="Arial" w:ascii="Arial" w:hAnsi="Arial"/>
        </w:rPr>
      </w:r>
    </w:p>
    <w:p>
      <w:pPr>
        <w:pStyle w:val="Normal"/>
        <w:ind w:hanging="720" w:start="1080" w:end="0"/>
        <w:jc w:val="both"/>
        <w:rPr/>
      </w:pPr>
      <w:r>
        <w:rPr>
          <w:rFonts w:cs="Arial" w:ascii="Arial" w:hAnsi="Arial"/>
        </w:rPr>
        <w:t>(a)</w:t>
        <w:tab/>
        <w:t>words importing the masculine gender only shall include the feminine and neuter genders;</w:t>
      </w:r>
    </w:p>
    <w:p>
      <w:pPr>
        <w:pStyle w:val="Normal"/>
        <w:jc w:val="both"/>
        <w:rPr>
          <w:rFonts w:ascii="Arial" w:hAnsi="Arial" w:cs="Arial"/>
        </w:rPr>
      </w:pPr>
      <w:r>
        <w:rPr>
          <w:rFonts w:cs="Arial" w:ascii="Arial" w:hAnsi="Arial"/>
        </w:rPr>
      </w:r>
    </w:p>
    <w:p>
      <w:pPr>
        <w:pStyle w:val="Normal"/>
        <w:ind w:hanging="720" w:start="1080" w:end="0"/>
        <w:jc w:val="both"/>
        <w:rPr>
          <w:rFonts w:ascii="Arial" w:hAnsi="Arial" w:cs="Arial"/>
        </w:rPr>
      </w:pPr>
      <w:r>
        <w:rPr>
          <w:rFonts w:cs="Arial" w:ascii="Arial" w:hAnsi="Arial"/>
        </w:rPr>
        <w:t>(b)</w:t>
        <w:tab/>
        <w:t>words in the singular number only shall include the plural number and vice versa;</w:t>
      </w:r>
    </w:p>
    <w:p>
      <w:pPr>
        <w:pStyle w:val="Normal"/>
        <w:jc w:val="both"/>
        <w:rPr>
          <w:rFonts w:ascii="Arial" w:hAnsi="Arial" w:cs="Arial"/>
        </w:rPr>
      </w:pPr>
      <w:r>
        <w:rPr>
          <w:rFonts w:cs="Arial" w:ascii="Arial" w:hAnsi="Arial"/>
        </w:rPr>
      </w:r>
    </w:p>
    <w:p>
      <w:pPr>
        <w:pStyle w:val="Normal"/>
        <w:ind w:hanging="720" w:start="1080" w:end="0"/>
        <w:jc w:val="both"/>
        <w:rPr>
          <w:rFonts w:ascii="Arial" w:hAnsi="Arial" w:cs="Arial"/>
        </w:rPr>
      </w:pPr>
      <w:r>
        <w:rPr>
          <w:rFonts w:cs="Arial" w:ascii="Arial" w:hAnsi="Arial"/>
        </w:rPr>
        <w:t>(c)</w:t>
        <w:tab/>
        <w:t>words applicable to natural persons only shall include any body or persons, firm or partnership, corporate or unincorporate;</w:t>
      </w:r>
    </w:p>
    <w:p>
      <w:pPr>
        <w:pStyle w:val="Normal"/>
        <w:jc w:val="both"/>
        <w:rPr>
          <w:rFonts w:ascii="Arial" w:hAnsi="Arial" w:cs="Arial"/>
        </w:rPr>
      </w:pPr>
      <w:r>
        <w:rPr>
          <w:rFonts w:cs="Arial" w:ascii="Arial" w:hAnsi="Arial"/>
        </w:rPr>
      </w:r>
    </w:p>
    <w:p>
      <w:pPr>
        <w:pStyle w:val="Normal"/>
        <w:ind w:hanging="720" w:start="1080" w:end="0"/>
        <w:jc w:val="both"/>
        <w:rPr/>
      </w:pPr>
      <w:commentRangeStart w:id="32"/>
      <w:r>
        <w:rPr>
          <w:rFonts w:cs="Arial" w:ascii="Arial" w:hAnsi="Arial"/>
          <w:highlight w:val="yellow"/>
        </w:rPr>
        <w:t>(d)</w:t>
        <w:tab/>
        <w:t xml:space="preserve">where there are two or more persons or parties included or comprised in the expression “the Vendor” or “the Purchaser”, Agreements, covenants terms, stipulations and undertakings shall be expressed to be made by or binding upon such person or parties jointly and severally; </w:t>
      </w:r>
      <w:commentRangeEnd w:id="32"/>
      <w:r>
        <w:rPr>
          <w:rStyle w:val="CommentReference"/>
        </w:rPr>
        <w:commentReference w:id="32"/>
      </w:r>
    </w:p>
    <w:p>
      <w:pPr>
        <w:pStyle w:val="Normal"/>
        <w:ind w:hanging="720" w:start="1080" w:end="0"/>
        <w:jc w:val="both"/>
        <w:rPr>
          <w:rFonts w:ascii="Arial" w:hAnsi="Arial" w:cs="Arial"/>
        </w:rPr>
      </w:pPr>
      <w:r>
        <w:rPr>
          <w:rFonts w:cs="Arial" w:ascii="Arial" w:hAnsi="Arial"/>
        </w:rPr>
      </w:r>
    </w:p>
    <w:p>
      <w:pPr>
        <w:pStyle w:val="Normal"/>
        <w:ind w:hanging="720" w:start="1080" w:end="0"/>
        <w:jc w:val="both"/>
        <w:rPr>
          <w:rFonts w:ascii="Arial" w:hAnsi="Arial" w:cs="Arial"/>
        </w:rPr>
      </w:pPr>
      <w:commentRangeStart w:id="33"/>
      <w:r>
        <w:rPr>
          <w:rFonts w:cs="Arial" w:ascii="Arial" w:hAnsi="Arial"/>
          <w:highlight w:val="cyan"/>
        </w:rPr>
        <w:t xml:space="preserve">(e) </w:t>
        <w:tab/>
        <w:t xml:space="preserve">the number of days shall exclude Public Holidays; and </w:t>
      </w:r>
      <w:commentRangeEnd w:id="33"/>
      <w:r>
        <w:rPr>
          <w:rStyle w:val="CommentReference"/>
        </w:rPr>
        <w:commentReference w:id="33"/>
      </w:r>
    </w:p>
    <w:p>
      <w:pPr>
        <w:pStyle w:val="Normal"/>
        <w:jc w:val="both"/>
        <w:rPr>
          <w:rFonts w:ascii="Arial" w:hAnsi="Arial" w:cs="Arial"/>
        </w:rPr>
      </w:pPr>
      <w:r>
        <w:rPr>
          <w:rFonts w:cs="Arial" w:ascii="Arial" w:hAnsi="Arial"/>
        </w:rPr>
      </w:r>
    </w:p>
    <w:p>
      <w:pPr>
        <w:pStyle w:val="Normal"/>
        <w:ind w:hanging="720" w:start="1080" w:end="0"/>
        <w:jc w:val="both"/>
        <w:rPr>
          <w:rFonts w:ascii="Arial" w:hAnsi="Arial" w:cs="Arial"/>
        </w:rPr>
      </w:pPr>
      <w:r>
        <w:rPr>
          <w:rFonts w:cs="Arial" w:ascii="Arial" w:hAnsi="Arial"/>
        </w:rPr>
        <w:t>(f)</w:t>
        <w:tab/>
        <w:t>the headings are inserted for convenience only and shall not affect the construction of this Agreement.</w:t>
      </w:r>
    </w:p>
    <w:p>
      <w:pPr>
        <w:pStyle w:val="Normal"/>
        <w:ind w:hanging="720" w:start="1080" w:end="0"/>
        <w:jc w:val="both"/>
        <w:rPr>
          <w:rFonts w:ascii="Arial" w:hAnsi="Arial" w:cs="Arial"/>
        </w:rPr>
      </w:pPr>
      <w:r>
        <w:rPr>
          <w:rFonts w:cs="Arial" w:ascii="Arial" w:hAnsi="Arial"/>
        </w:rPr>
      </w:r>
    </w:p>
    <w:p>
      <w:pPr>
        <w:pStyle w:val="Normal"/>
        <w:ind w:hanging="720" w:start="1080" w:end="0"/>
        <w:jc w:val="both"/>
        <w:rPr>
          <w:rFonts w:ascii="Arial" w:hAnsi="Arial" w:cs="Arial"/>
        </w:rPr>
      </w:pPr>
      <w:r>
        <w:rPr>
          <w:rFonts w:cs="Arial" w:ascii="Arial" w:hAnsi="Arial"/>
        </w:rPr>
      </w:r>
    </w:p>
    <w:p>
      <w:pPr>
        <w:pStyle w:val="Normal"/>
        <w:numPr>
          <w:ilvl w:val="0"/>
          <w:numId w:val="10"/>
        </w:numPr>
        <w:spacing w:lineRule="auto" w:line="360"/>
        <w:ind w:hanging="567" w:start="567" w:end="0"/>
        <w:jc w:val="both"/>
        <w:rPr>
          <w:rFonts w:ascii="Arial" w:hAnsi="Arial" w:cs="Arial"/>
        </w:rPr>
      </w:pPr>
      <w:r>
        <w:rPr>
          <w:rFonts w:cs="Arial" w:ascii="Arial" w:hAnsi="Arial"/>
          <w:b/>
          <w:u w:val="single"/>
        </w:rPr>
        <w:t>NOTIFICATION OF CHANGE OF OWNERSHIP OF PROPERTY</w:t>
      </w:r>
    </w:p>
    <w:p>
      <w:pPr>
        <w:pStyle w:val="Normal"/>
        <w:tabs>
          <w:tab w:val="clear" w:pos="720"/>
          <w:tab w:val="left" w:pos="748" w:leader="none"/>
        </w:tabs>
        <w:jc w:val="both"/>
        <w:rPr>
          <w:rFonts w:ascii="Arial" w:hAnsi="Arial" w:cs="Arial"/>
        </w:rPr>
      </w:pPr>
      <w:r>
        <w:rPr>
          <w:rFonts w:cs="Arial" w:ascii="Arial" w:hAnsi="Arial"/>
        </w:rPr>
      </w:r>
    </w:p>
    <w:p>
      <w:pPr>
        <w:pStyle w:val="Normal"/>
        <w:tabs>
          <w:tab w:val="clear" w:pos="720"/>
          <w:tab w:val="left" w:pos="567" w:leader="none"/>
        </w:tabs>
        <w:ind w:hanging="567" w:start="567" w:end="0"/>
        <w:jc w:val="both"/>
        <w:rPr>
          <w:rFonts w:ascii="Arial" w:hAnsi="Arial" w:cs="Arial"/>
          <w:color w:val="7030A0"/>
        </w:rPr>
      </w:pPr>
      <w:commentRangeStart w:id="27"/>
      <w:r>
        <w:rPr>
          <w:rFonts w:cs="Arial" w:ascii="Arial" w:hAnsi="Arial"/>
          <w:highlight w:val="yellow"/>
        </w:rPr>
        <w:tab/>
        <w:t xml:space="preserve">The parties hereto shall where necessary individually inform all the relevant authorities of the change of ownership of the said Property upon the completion of the sale and purchase herein and to pay all costs, expenses and penalties incidental thereto or howsoever arising there from or in connection therewith.  The parties agree that the Vendors’ Solicitors and the Purchasers’ Solicitors are not obliged to perform this notification. The Vendor shall undertake to settle any arrears upon or before the completion of the Sale and Purchase of the Property. </w:t>
      </w:r>
      <w:commentRangeEnd w:id="27"/>
      <w:r>
        <w:rPr>
          <w:rStyle w:val="CommentReference"/>
        </w:rPr>
        <w:commentReference w:id="27"/>
      </w:r>
    </w:p>
    <w:p>
      <w:pPr>
        <w:pStyle w:val="Normal"/>
        <w:tabs>
          <w:tab w:val="clear" w:pos="720"/>
          <w:tab w:val="left" w:pos="567" w:leader="none"/>
        </w:tabs>
        <w:spacing w:lineRule="auto" w:line="360"/>
        <w:ind w:hanging="567" w:start="567" w:end="0"/>
        <w:jc w:val="both"/>
        <w:rPr>
          <w:rFonts w:ascii="Arial" w:hAnsi="Arial" w:cs="Arial"/>
          <w:color w:val="7030A0"/>
        </w:rPr>
      </w:pPr>
      <w:r>
        <w:rPr>
          <w:rFonts w:cs="Arial" w:ascii="Arial" w:hAnsi="Arial"/>
          <w:color w:val="7030A0"/>
        </w:rPr>
      </w:r>
    </w:p>
    <w:p>
      <w:pPr>
        <w:pStyle w:val="Normal"/>
        <w:numPr>
          <w:ilvl w:val="0"/>
          <w:numId w:val="10"/>
        </w:numPr>
        <w:tabs>
          <w:tab w:val="clear" w:pos="720"/>
          <w:tab w:val="left" w:pos="567" w:leader="none"/>
        </w:tabs>
        <w:spacing w:lineRule="auto" w:line="360"/>
        <w:ind w:hanging="720" w:start="720" w:end="0"/>
        <w:jc w:val="both"/>
        <w:rPr>
          <w:rFonts w:ascii="Arial" w:hAnsi="Arial" w:cs="Arial"/>
          <w:b/>
          <w:bCs/>
        </w:rPr>
      </w:pPr>
      <w:r>
        <w:rPr>
          <w:rFonts w:cs="Arial" w:ascii="Arial" w:hAnsi="Arial"/>
          <w:b/>
          <w:bCs/>
          <w:u w:val="single"/>
        </w:rPr>
        <w:t>ANTI-MONEY LAUNDERING AND ANTI-TERRORISM FINANCING</w:t>
      </w:r>
    </w:p>
    <w:p>
      <w:pPr>
        <w:pStyle w:val="Normal"/>
        <w:tabs>
          <w:tab w:val="left" w:pos="720" w:leader="none"/>
        </w:tabs>
        <w:ind w:hanging="709" w:start="709" w:end="0"/>
        <w:jc w:val="both"/>
        <w:rPr>
          <w:rFonts w:ascii="Arial" w:hAnsi="Arial" w:cs="Arial"/>
        </w:rPr>
      </w:pPr>
      <w:r>
        <w:rPr>
          <w:rFonts w:cs="Arial" w:ascii="Arial" w:hAnsi="Arial"/>
        </w:rPr>
        <w:tab/>
      </w:r>
    </w:p>
    <w:p>
      <w:pPr>
        <w:pStyle w:val="Normal"/>
        <w:tabs>
          <w:tab w:val="clear" w:pos="720"/>
          <w:tab w:val="left" w:pos="567" w:leader="none"/>
        </w:tabs>
        <w:ind w:hanging="1276" w:start="1276" w:end="0"/>
        <w:jc w:val="both"/>
        <w:rPr/>
      </w:pPr>
      <w:r>
        <w:rPr>
          <w:rFonts w:cs="Arial" w:ascii="Arial" w:hAnsi="Arial"/>
        </w:rPr>
        <w:tab/>
        <w:t>31.1</w:t>
        <w:tab/>
        <w:t>The Vendor and the Purchaser declare and affirm that the moneys received and paid by the respective parties does not contravenes with the Anti-Money Laundering and Anti-Terrorism Financing Act 2001 [hereinafter referred to as “AMLATFA Act”].</w:t>
      </w:r>
    </w:p>
    <w:p>
      <w:pPr>
        <w:pStyle w:val="Normal"/>
        <w:tabs>
          <w:tab w:val="clear" w:pos="720"/>
          <w:tab w:val="left" w:pos="567" w:leader="none"/>
        </w:tabs>
        <w:spacing w:lineRule="auto" w:line="360"/>
        <w:ind w:hanging="1276" w:start="1276" w:end="0"/>
        <w:jc w:val="both"/>
        <w:rPr>
          <w:rFonts w:ascii="Arial" w:hAnsi="Arial" w:cs="Arial"/>
        </w:rPr>
      </w:pPr>
      <w:r>
        <w:rPr>
          <w:rFonts w:cs="Arial" w:ascii="Arial" w:hAnsi="Arial"/>
        </w:rPr>
      </w:r>
    </w:p>
    <w:p>
      <w:pPr>
        <w:pStyle w:val="Normal"/>
        <w:tabs>
          <w:tab w:val="clear" w:pos="720"/>
          <w:tab w:val="left" w:pos="567" w:leader="none"/>
        </w:tabs>
        <w:ind w:hanging="1276" w:start="1276" w:end="0"/>
        <w:jc w:val="both"/>
        <w:rPr/>
      </w:pPr>
      <w:r>
        <w:rPr>
          <w:rFonts w:cs="Arial" w:ascii="Arial" w:hAnsi="Arial"/>
        </w:rPr>
        <w:tab/>
        <w:t>31.2</w:t>
        <w:tab/>
        <w:t>The Purchase Price received by the Vendor and/or the Vendor’s appointed agents /Solicitors and/or Purchaser’ Solicitors as stakeholders from the Purchaser is for the purpose of intention in Clauses 3 hereinabove and is not an attempt to circumnavigate the AMLATFA Act.</w:t>
      </w:r>
    </w:p>
    <w:p>
      <w:pPr>
        <w:pStyle w:val="Normal"/>
        <w:tabs>
          <w:tab w:val="clear" w:pos="720"/>
          <w:tab w:val="left" w:pos="567" w:leader="none"/>
        </w:tabs>
        <w:spacing w:lineRule="auto" w:line="360"/>
        <w:ind w:hanging="567" w:start="567" w:end="0"/>
        <w:jc w:val="both"/>
        <w:rPr>
          <w:rFonts w:ascii="Arial" w:hAnsi="Arial" w:cs="Arial"/>
        </w:rPr>
      </w:pPr>
      <w:r>
        <w:rPr>
          <w:rFonts w:cs="Arial" w:ascii="Arial" w:hAnsi="Arial"/>
        </w:rPr>
      </w:r>
    </w:p>
    <w:p>
      <w:pPr>
        <w:pStyle w:val="Normal"/>
        <w:jc w:val="both"/>
        <w:rPr>
          <w:rFonts w:ascii="Arial" w:hAnsi="Arial" w:cs="Arial"/>
          <w:lang w:val="en-GB"/>
        </w:rPr>
      </w:pPr>
      <w:r>
        <w:rPr>
          <w:rFonts w:cs="Arial" w:ascii="Arial" w:hAnsi="Arial"/>
          <w:lang w:val="en-GB"/>
        </w:rPr>
      </w:r>
    </w:p>
    <w:p>
      <w:pPr>
        <w:pStyle w:val="Normal"/>
        <w:autoSpaceDE w:val="false"/>
        <w:jc w:val="both"/>
        <w:rPr>
          <w:rFonts w:ascii="Arial" w:hAnsi="Arial" w:cs="Arial"/>
        </w:rPr>
      </w:pPr>
      <w:r>
        <w:rPr>
          <w:rFonts w:cs="Arial" w:ascii="Arial" w:hAnsi="Arial"/>
        </w:rPr>
        <w:t>********************************************************************************************</w:t>
      </w:r>
    </w:p>
    <w:p>
      <w:pPr>
        <w:pStyle w:val="Normal"/>
        <w:autoSpaceDE w:val="false"/>
        <w:jc w:val="center"/>
        <w:rPr>
          <w:rFonts w:ascii="Arial" w:hAnsi="Arial" w:cs="Arial"/>
        </w:rPr>
      </w:pPr>
      <w:r>
        <w:rPr>
          <w:rFonts w:cs="Arial" w:ascii="Arial" w:hAnsi="Arial"/>
        </w:rPr>
      </w:r>
    </w:p>
    <w:p>
      <w:pPr>
        <w:pStyle w:val="Normal"/>
        <w:autoSpaceDE w:val="false"/>
        <w:jc w:val="center"/>
        <w:rPr/>
      </w:pPr>
      <w:r>
        <w:rPr>
          <w:rFonts w:cs="Arial" w:ascii="Arial" w:hAnsi="Arial"/>
        </w:rPr>
        <w:t>-</w:t>
      </w:r>
      <w:r>
        <w:rPr>
          <w:rFonts w:cs="Arial" w:ascii="Arial" w:hAnsi="Arial"/>
          <w:b/>
          <w:bCs/>
          <w:i/>
          <w:iCs/>
        </w:rPr>
        <w:t>THE REMAINDER OF THIS PAGE IS INTENTIONALLY LEFT BLANK-</w:t>
        <w:softHyphen/>
      </w:r>
    </w:p>
    <w:p>
      <w:pPr>
        <w:pStyle w:val="Normal"/>
        <w:jc w:val="both"/>
        <w:rPr>
          <w:rFonts w:ascii="Arial" w:hAnsi="Arial" w:cs="Arial"/>
          <w:b/>
          <w:bCs/>
          <w:i/>
          <w:i/>
          <w:iCs/>
        </w:rPr>
      </w:pPr>
      <w:r>
        <w:rPr>
          <w:rFonts w:cs="Arial" w:ascii="Arial" w:hAnsi="Arial"/>
          <w:b/>
          <w:bCs/>
          <w:i/>
          <w:i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r>
    </w:p>
    <w:p>
      <w:pPr>
        <w:pStyle w:val="Normal"/>
        <w:jc w:val="both"/>
        <w:rPr/>
      </w:pPr>
      <w:r>
        <w:rPr>
          <w:rFonts w:cs="Arial" w:ascii="Arial" w:hAnsi="Arial"/>
          <w:b/>
          <w:bCs/>
        </w:rPr>
        <w:t>IN WITNESS WHEREOF</w:t>
      </w:r>
      <w:r>
        <w:rPr>
          <w:rFonts w:cs="Arial" w:ascii="Arial" w:hAnsi="Arial"/>
        </w:rPr>
        <w:t xml:space="preserve"> the parties hereto have hereunto set their hands the day and year set out in Section I of the First Schedule of this Agreement.</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tabs>
          <w:tab w:val="clear" w:pos="720"/>
          <w:tab w:val="left" w:pos="3600" w:leader="none"/>
          <w:tab w:val="left" w:pos="6480" w:leader="none"/>
          <w:tab w:val="left" w:pos="6660" w:leader="none"/>
        </w:tabs>
        <w:jc w:val="both"/>
        <w:rPr>
          <w:rFonts w:ascii="Arial" w:hAnsi="Arial" w:cs="Arial"/>
        </w:rPr>
      </w:pPr>
      <w:r>
        <w:rPr>
          <w:rFonts w:cs="Arial" w:ascii="Arial" w:hAnsi="Arial"/>
        </w:rPr>
        <w:t>SIGNED by the VENDOR</w:t>
        <w:tab/>
        <w:t>]</w:t>
      </w:r>
    </w:p>
    <w:p>
      <w:pPr>
        <w:pStyle w:val="Normal"/>
        <w:tabs>
          <w:tab w:val="clear" w:pos="720"/>
          <w:tab w:val="left" w:pos="3600" w:leader="none"/>
          <w:tab w:val="left" w:pos="6480" w:leader="none"/>
          <w:tab w:val="left" w:pos="6660" w:leader="none"/>
        </w:tabs>
        <w:jc w:val="both"/>
        <w:rPr>
          <w:rFonts w:ascii="Arial" w:hAnsi="Arial" w:cs="Arial"/>
        </w:rPr>
      </w:pPr>
      <w:r>
        <w:rPr>
          <w:rFonts w:cs="Arial" w:ascii="Arial" w:hAnsi="Arial"/>
        </w:rPr>
        <w:tab/>
        <w:t>]</w:t>
        <w:tab/>
      </w:r>
    </w:p>
    <w:p>
      <w:pPr>
        <w:pStyle w:val="Normal"/>
        <w:tabs>
          <w:tab w:val="clear" w:pos="720"/>
          <w:tab w:val="left" w:pos="3600" w:leader="none"/>
          <w:tab w:val="left" w:pos="6480" w:leader="none"/>
          <w:tab w:val="left" w:pos="6660" w:leader="none"/>
        </w:tabs>
        <w:jc w:val="both"/>
        <w:rPr>
          <w:rFonts w:ascii="Arial" w:hAnsi="Arial" w:cs="Arial"/>
        </w:rPr>
      </w:pPr>
      <w:r>
        <w:rPr>
          <w:rFonts w:cs="Arial" w:ascii="Arial" w:hAnsi="Arial"/>
        </w:rPr>
        <w:t xml:space="preserve">In the presence of : - </w:t>
        <w:tab/>
        <w:t>]</w:t>
      </w:r>
    </w:p>
    <w:p>
      <w:pPr>
        <w:pStyle w:val="Normal"/>
        <w:tabs>
          <w:tab w:val="clear" w:pos="720"/>
          <w:tab w:val="left" w:pos="3600" w:leader="none"/>
        </w:tabs>
        <w:spacing w:lineRule="auto" w:line="276"/>
        <w:jc w:val="both"/>
        <w:rPr>
          <w:rFonts w:ascii="Arial" w:hAnsi="Arial" w:cs="Arial"/>
        </w:rPr>
      </w:pPr>
      <w:r>
        <w:rPr>
          <w:rFonts w:cs="Arial" w:ascii="Arial" w:hAnsi="Arial"/>
        </w:rPr>
        <w:tab/>
        <w:t xml:space="preserve">   </w:t>
        <w:tab/>
      </w:r>
      <w:bookmarkStart w:id="8" w:name="_Hlk131599467"/>
      <w:r>
        <w:rPr>
          <w:rFonts w:cs="Arial" w:ascii="Arial" w:hAnsi="Arial"/>
        </w:rPr>
        <w:t>……………………………..…………..</w:t>
      </w:r>
    </w:p>
    <w:p>
      <w:pPr>
        <w:pStyle w:val="Normal"/>
        <w:spacing w:lineRule="auto" w:line="276"/>
        <w:jc w:val="center"/>
        <w:rPr>
          <w:rFonts w:ascii="Arial" w:hAnsi="Arial" w:cs="Arial"/>
          <w:b/>
          <w:bCs/>
          <w:lang w:val="en-MY"/>
        </w:rPr>
      </w:pPr>
      <w:r>
        <w:rPr>
          <w:rFonts w:cs="Arial" w:ascii="Arial" w:hAnsi="Arial"/>
          <w:b/>
          <w:bCs/>
        </w:rPr>
        <w:tab/>
        <w:tab/>
        <w:tab/>
        <w:tab/>
        <w:t xml:space="preserve">SALMI NUR AIN BINTI MOHD HILMEY </w:t>
      </w:r>
    </w:p>
    <w:p>
      <w:pPr>
        <w:pStyle w:val="Normal"/>
        <w:spacing w:lineRule="auto" w:line="276"/>
        <w:jc w:val="center"/>
        <w:rPr/>
      </w:pPr>
      <w:r>
        <w:rPr>
          <w:rFonts w:eastAsia="Arial" w:cs="Arial" w:ascii="Arial" w:hAnsi="Arial"/>
          <w:b/>
          <w:bCs/>
          <w:lang w:val="en-MY"/>
        </w:rPr>
        <w:t xml:space="preserve">                                          </w:t>
      </w:r>
      <w:r>
        <w:rPr>
          <w:rFonts w:cs="Arial" w:ascii="Arial" w:hAnsi="Arial"/>
          <w:b/>
          <w:bCs/>
          <w:lang w:val="en-MY"/>
        </w:rPr>
        <w:t>(NRIC NO. 870614-10-5202)</w:t>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tabs>
          <w:tab w:val="clear" w:pos="720"/>
          <w:tab w:val="left" w:pos="3600" w:leader="none"/>
        </w:tabs>
        <w:spacing w:lineRule="auto" w:line="276"/>
        <w:jc w:val="both"/>
        <w:rPr>
          <w:rFonts w:ascii="Arial" w:hAnsi="Arial" w:cs="Arial"/>
          <w:b/>
          <w:bCs/>
          <w:lang w:val="en-MY"/>
        </w:rPr>
      </w:pPr>
      <w:r>
        <w:rPr>
          <w:rFonts w:cs="Arial" w:ascii="Arial" w:hAnsi="Arial"/>
          <w:lang w:val="en-MY"/>
        </w:rPr>
        <w:tab/>
        <w:tab/>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eastAsia="Arial" w:cs="Arial"/>
          <w:b/>
          <w:bCs/>
          <w:lang w:val="en-MY"/>
        </w:rPr>
      </w:pPr>
      <w:r>
        <w:rPr>
          <w:rFonts w:eastAsia="Arial" w:cs="Arial" w:ascii="Arial" w:hAnsi="Arial"/>
          <w:b/>
          <w:bCs/>
          <w:lang w:val="en-MY"/>
        </w:rPr>
        <w:t xml:space="preserve">      </w:t>
      </w:r>
      <w:bookmarkEnd w:id="8"/>
    </w:p>
    <w:p>
      <w:pPr>
        <w:pStyle w:val="Normal"/>
        <w:tabs>
          <w:tab w:val="clear" w:pos="720"/>
          <w:tab w:val="left" w:pos="3600" w:leader="none"/>
          <w:tab w:val="left" w:pos="7440" w:leader="none"/>
        </w:tabs>
        <w:jc w:val="both"/>
        <w:rPr>
          <w:rFonts w:ascii="Arial" w:hAnsi="Arial" w:cs="Arial"/>
          <w:b/>
          <w:bCs/>
          <w:lang w:val="en-MY"/>
        </w:rPr>
      </w:pPr>
      <w:r>
        <w:rPr>
          <w:rFonts w:cs="Arial" w:ascii="Arial" w:hAnsi="Arial"/>
          <w:b/>
          <w:bCs/>
          <w:lang w:val="en-MY"/>
        </w:rPr>
      </w:r>
    </w:p>
    <w:p>
      <w:pPr>
        <w:pStyle w:val="Normal"/>
        <w:jc w:val="both"/>
        <w:rPr>
          <w:rFonts w:ascii="Arial" w:hAnsi="Arial" w:cs="Arial"/>
          <w:b/>
          <w:bCs/>
          <w:lang w:val="en-MY"/>
        </w:rPr>
      </w:pPr>
      <w:r>
        <w:rPr>
          <w:rFonts w:cs="Arial" w:ascii="Arial" w:hAnsi="Arial"/>
          <w:b/>
          <w:bCs/>
          <w:lang w:val="en-MY"/>
        </w:rPr>
      </w:r>
    </w:p>
    <w:p>
      <w:pPr>
        <w:pStyle w:val="Normal"/>
        <w:jc w:val="both"/>
        <w:rPr>
          <w:rFonts w:ascii="Arial" w:hAnsi="Arial" w:cs="Arial"/>
          <w:b/>
          <w:bCs/>
          <w:lang w:val="en-MY"/>
        </w:rPr>
      </w:pPr>
      <w:r>
        <w:rPr>
          <w:rFonts w:cs="Arial" w:ascii="Arial" w:hAnsi="Arial"/>
          <w:b/>
          <w:bCs/>
          <w:lang w:val="en-MY"/>
        </w:rPr>
      </w:r>
    </w:p>
    <w:p>
      <w:pPr>
        <w:pStyle w:val="Normal"/>
        <w:tabs>
          <w:tab w:val="clear" w:pos="720"/>
          <w:tab w:val="left" w:pos="3600" w:leader="none"/>
          <w:tab w:val="left" w:pos="6480" w:leader="none"/>
          <w:tab w:val="left" w:pos="6660" w:leader="none"/>
        </w:tabs>
        <w:jc w:val="both"/>
        <w:rPr>
          <w:rFonts w:ascii="Arial" w:hAnsi="Arial" w:cs="Arial"/>
        </w:rPr>
      </w:pPr>
      <w:r>
        <w:rPr>
          <w:rFonts w:cs="Arial" w:ascii="Arial" w:hAnsi="Arial"/>
        </w:rPr>
        <w:t>SIGNED by the PURCHASER</w:t>
        <w:tab/>
        <w:t>]</w:t>
      </w:r>
    </w:p>
    <w:p>
      <w:pPr>
        <w:pStyle w:val="Normal"/>
        <w:tabs>
          <w:tab w:val="clear" w:pos="720"/>
          <w:tab w:val="left" w:pos="3600" w:leader="none"/>
          <w:tab w:val="left" w:pos="6480" w:leader="none"/>
          <w:tab w:val="left" w:pos="6660" w:leader="none"/>
        </w:tabs>
        <w:jc w:val="both"/>
        <w:rPr>
          <w:rFonts w:ascii="Arial" w:hAnsi="Arial" w:cs="Arial"/>
        </w:rPr>
      </w:pPr>
      <w:r>
        <w:rPr>
          <w:rFonts w:cs="Arial" w:ascii="Arial" w:hAnsi="Arial"/>
        </w:rPr>
        <w:tab/>
        <w:t>]</w:t>
        <w:tab/>
      </w:r>
    </w:p>
    <w:p>
      <w:pPr>
        <w:pStyle w:val="Normal"/>
        <w:tabs>
          <w:tab w:val="clear" w:pos="720"/>
          <w:tab w:val="left" w:pos="3600" w:leader="none"/>
          <w:tab w:val="left" w:pos="6480" w:leader="none"/>
          <w:tab w:val="left" w:pos="6660" w:leader="none"/>
        </w:tabs>
        <w:jc w:val="both"/>
        <w:rPr>
          <w:rFonts w:ascii="Arial" w:hAnsi="Arial" w:cs="Arial"/>
        </w:rPr>
      </w:pPr>
      <w:r>
        <w:rPr>
          <w:rFonts w:cs="Arial" w:ascii="Arial" w:hAnsi="Arial"/>
        </w:rPr>
        <w:t xml:space="preserve">In the presence of : - </w:t>
        <w:tab/>
        <w:t>]</w:t>
      </w:r>
    </w:p>
    <w:p>
      <w:pPr>
        <w:pStyle w:val="Normal"/>
        <w:tabs>
          <w:tab w:val="clear" w:pos="720"/>
          <w:tab w:val="left" w:pos="3600" w:leader="none"/>
        </w:tabs>
        <w:jc w:val="both"/>
        <w:rPr>
          <w:rFonts w:ascii="Arial" w:hAnsi="Arial" w:cs="Arial"/>
          <w:lang w:val="en-MY"/>
        </w:rPr>
      </w:pPr>
      <w:r>
        <w:rPr>
          <w:rFonts w:cs="Arial" w:ascii="Arial" w:hAnsi="Arial"/>
        </w:rPr>
        <w:tab/>
        <w:t xml:space="preserve">   </w:t>
        <w:tab/>
      </w:r>
      <w:bookmarkStart w:id="9" w:name="_Hlk204355574"/>
      <w:r>
        <w:rPr>
          <w:rFonts w:cs="Arial" w:ascii="Arial" w:hAnsi="Arial"/>
          <w:lang w:val="en-MY"/>
        </w:rPr>
        <w:t>……………………………..………………..</w:t>
      </w:r>
    </w:p>
    <w:p>
      <w:pPr>
        <w:pStyle w:val="Normal"/>
        <w:spacing w:lineRule="auto" w:line="276"/>
        <w:jc w:val="center"/>
        <w:rPr>
          <w:rFonts w:ascii="Arial" w:hAnsi="Arial" w:cs="Arial"/>
          <w:b/>
          <w:bCs/>
          <w:lang w:val="en-MY"/>
        </w:rPr>
      </w:pPr>
      <w:r>
        <w:rPr>
          <w:rFonts w:cs="Arial" w:ascii="Arial" w:hAnsi="Arial"/>
          <w:b/>
          <w:bCs/>
          <w:lang w:val="en-MY"/>
        </w:rPr>
        <w:tab/>
        <w:tab/>
        <w:t xml:space="preserve">                          THINESHVARAN A/L S BALASUBRAMANIAM  </w:t>
      </w:r>
    </w:p>
    <w:p>
      <w:pPr>
        <w:pStyle w:val="Normal"/>
        <w:spacing w:lineRule="auto" w:line="276"/>
        <w:jc w:val="center"/>
        <w:rPr>
          <w:rFonts w:ascii="Arial" w:hAnsi="Arial" w:cs="Arial"/>
          <w:b/>
          <w:bCs/>
          <w:lang w:val="en-MY"/>
        </w:rPr>
      </w:pPr>
      <w:r>
        <w:rPr>
          <w:rFonts w:eastAsia="Arial" w:cs="Arial" w:ascii="Arial" w:hAnsi="Arial"/>
          <w:b/>
          <w:bCs/>
          <w:lang w:val="en-MY"/>
        </w:rPr>
        <w:t xml:space="preserve">                                                 </w:t>
      </w:r>
      <w:r>
        <w:rPr>
          <w:rFonts w:cs="Arial" w:ascii="Arial" w:hAnsi="Arial"/>
          <w:b/>
          <w:bCs/>
          <w:lang w:val="en-MY"/>
        </w:rPr>
        <w:t>(NRIC NO. 971129-10-6925)</w:t>
        <w:tab/>
      </w:r>
      <w:bookmarkEnd w:id="9"/>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tabs>
          <w:tab w:val="clear" w:pos="720"/>
          <w:tab w:val="left" w:pos="3600" w:leader="none"/>
        </w:tabs>
        <w:spacing w:lineRule="auto" w:line="276"/>
        <w:jc w:val="both"/>
        <w:rPr>
          <w:rFonts w:ascii="Arial" w:hAnsi="Arial" w:cs="Arial"/>
          <w:lang w:val="en-MY"/>
        </w:rPr>
      </w:pPr>
      <w:r>
        <w:rPr>
          <w:rFonts w:cs="Arial" w:ascii="Arial" w:hAnsi="Arial"/>
          <w:lang w:val="en-MY"/>
        </w:rPr>
        <w:tab/>
        <w:tab/>
        <w:t>……………………………..…………..</w:t>
      </w:r>
    </w:p>
    <w:p>
      <w:pPr>
        <w:pStyle w:val="Normal"/>
        <w:spacing w:lineRule="auto" w:line="276"/>
        <w:jc w:val="center"/>
        <w:rPr>
          <w:rFonts w:ascii="Arial" w:hAnsi="Arial" w:cs="Arial"/>
          <w:b/>
          <w:bCs/>
          <w:lang w:val="en-MY"/>
        </w:rPr>
      </w:pPr>
      <w:r>
        <w:rPr>
          <w:rFonts w:cs="Arial" w:ascii="Arial" w:hAnsi="Arial"/>
          <w:b/>
          <w:bCs/>
          <w:lang w:val="en-MY"/>
        </w:rPr>
        <w:tab/>
        <w:tab/>
        <w:tab/>
        <w:tab/>
        <w:t xml:space="preserve">       GAUSSALYA A/P KANNAN </w:t>
      </w:r>
    </w:p>
    <w:p>
      <w:pPr>
        <w:pStyle w:val="Normal"/>
        <w:spacing w:lineRule="auto" w:line="276"/>
        <w:jc w:val="center"/>
        <w:rPr/>
      </w:pPr>
      <w:r>
        <w:rPr>
          <w:rFonts w:eastAsia="Arial" w:cs="Arial" w:ascii="Arial" w:hAnsi="Arial"/>
          <w:b/>
          <w:bCs/>
          <w:lang w:val="en-MY"/>
        </w:rPr>
        <w:t xml:space="preserve">                                                 </w:t>
      </w:r>
      <w:r>
        <w:rPr>
          <w:rFonts w:cs="Arial" w:ascii="Arial" w:hAnsi="Arial"/>
          <w:b/>
          <w:bCs/>
          <w:lang w:val="en-MY"/>
        </w:rPr>
        <w:t>(NRIC NO. 991031-08-5204)</w:t>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spacing w:lineRule="auto" w:line="276"/>
        <w:jc w:val="center"/>
        <w:rPr>
          <w:rFonts w:ascii="Arial" w:hAnsi="Arial" w:cs="Arial"/>
          <w:b/>
          <w:bCs/>
          <w:lang w:val="en-MY"/>
        </w:rPr>
      </w:pPr>
      <w:r>
        <w:rPr>
          <w:rFonts w:cs="Arial" w:ascii="Arial" w:hAnsi="Arial"/>
          <w:b/>
          <w:bCs/>
          <w:lang w:val="en-MY"/>
        </w:rPr>
      </w:r>
    </w:p>
    <w:p>
      <w:pPr>
        <w:pStyle w:val="Normal"/>
        <w:jc w:val="center"/>
        <w:rPr>
          <w:rFonts w:ascii="Arial" w:hAnsi="Arial" w:cs="Arial"/>
          <w:b/>
          <w:bCs/>
        </w:rPr>
      </w:pPr>
      <w:r>
        <w:rPr>
          <w:rFonts w:cs="Arial" w:ascii="Arial" w:hAnsi="Arial"/>
          <w:b/>
          <w:bCs/>
        </w:rPr>
        <w:t>FIRST SCHEDULE</w:t>
      </w:r>
    </w:p>
    <w:p>
      <w:pPr>
        <w:pStyle w:val="Normal"/>
        <w:jc w:val="center"/>
        <w:rPr>
          <w:rFonts w:ascii="Arial" w:hAnsi="Arial" w:cs="Arial"/>
          <w:b/>
          <w:bCs/>
        </w:rPr>
      </w:pPr>
      <w:r>
        <w:rPr>
          <w:rFonts w:cs="Arial" w:ascii="Arial" w:hAnsi="Arial"/>
          <w:b/>
          <w:bCs/>
        </w:rPr>
      </w:r>
    </w:p>
    <w:tbl>
      <w:tblPr>
        <w:tblW w:w="9039" w:type="dxa"/>
        <w:jc w:val="start"/>
        <w:tblInd w:w="0" w:type="dxa"/>
        <w:tblLayout w:type="fixed"/>
        <w:tblCellMar>
          <w:top w:w="0" w:type="dxa"/>
          <w:start w:w="108" w:type="dxa"/>
          <w:bottom w:w="0" w:type="dxa"/>
          <w:end w:w="108" w:type="dxa"/>
        </w:tblCellMar>
      </w:tblPr>
      <w:tblGrid>
        <w:gridCol w:w="1668"/>
        <w:gridCol w:w="7371"/>
      </w:tblGrid>
      <w:tr>
        <w:trPr>
          <w:trHeight w:val="707" w:hRule="atLeast"/>
        </w:trPr>
        <w:tc>
          <w:tcPr>
            <w:tcW w:w="1668" w:type="dxa"/>
            <w:tcBorders>
              <w:top w:val="single" w:sz="4" w:space="0" w:color="000000"/>
              <w:start w:val="single" w:sz="4" w:space="0" w:color="000000"/>
              <w:bottom w:val="single" w:sz="4" w:space="0" w:color="000000"/>
              <w:end w:val="single" w:sz="6" w:space="0" w:color="000000"/>
            </w:tcBorders>
          </w:tcPr>
          <w:p>
            <w:pPr>
              <w:pStyle w:val="Normal"/>
              <w:snapToGrid w:val="false"/>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t>SECTION</w:t>
            </w:r>
          </w:p>
        </w:tc>
        <w:tc>
          <w:tcPr>
            <w:tcW w:w="7371" w:type="dxa"/>
            <w:tcBorders>
              <w:top w:val="single" w:sz="4" w:space="0" w:color="000000"/>
              <w:start w:val="single" w:sz="6" w:space="0" w:color="000000"/>
              <w:bottom w:val="single" w:sz="4" w:space="0" w:color="000000"/>
              <w:end w:val="single" w:sz="4" w:space="0" w:color="000000"/>
            </w:tcBorders>
          </w:tcPr>
          <w:p>
            <w:pPr>
              <w:pStyle w:val="Normal"/>
              <w:snapToGrid w:val="false"/>
              <w:ind w:start="318" w:end="0"/>
              <w:rPr>
                <w:rFonts w:ascii="Arial" w:hAnsi="Arial" w:cs="Arial"/>
              </w:rPr>
            </w:pPr>
            <w:r>
              <w:rPr>
                <w:rFonts w:cs="Arial" w:ascii="Arial" w:hAnsi="Arial"/>
              </w:rPr>
            </w:r>
          </w:p>
          <w:p>
            <w:pPr>
              <w:pStyle w:val="Normal"/>
              <w:ind w:start="320" w:end="0"/>
              <w:rPr>
                <w:rFonts w:ascii="Arial" w:hAnsi="Arial" w:cs="Arial"/>
              </w:rPr>
            </w:pPr>
            <w:r>
              <w:rPr>
                <w:rFonts w:cs="Arial" w:ascii="Arial" w:hAnsi="Arial"/>
              </w:rPr>
              <w:t>PARTICULARS</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ind w:start="720" w:end="0"/>
              <w:jc w:val="center"/>
              <w:rPr>
                <w:rFonts w:ascii="Arial" w:hAnsi="Arial" w:cs="Arial"/>
              </w:rPr>
            </w:pPr>
            <w:r>
              <w:rPr>
                <w:rFonts w:cs="Arial" w:ascii="Arial" w:hAnsi="Arial"/>
              </w:rPr>
            </w:r>
          </w:p>
          <w:p>
            <w:pPr>
              <w:pStyle w:val="Normal"/>
              <w:numPr>
                <w:ilvl w:val="0"/>
                <w:numId w:val="17"/>
              </w:numPr>
              <w:jc w:val="center"/>
              <w:rPr>
                <w:rFonts w:ascii="Arial" w:hAnsi="Arial" w:cs="Arial"/>
              </w:rPr>
            </w:pPr>
            <w:r>
              <w:rPr>
                <w:rFonts w:cs="Arial" w:ascii="Arial" w:hAnsi="Arial"/>
              </w:rPr>
            </w:r>
          </w:p>
        </w:tc>
        <w:tc>
          <w:tcPr>
            <w:tcW w:w="7371" w:type="dxa"/>
            <w:tcBorders>
              <w:top w:val="single" w:sz="4" w:space="0" w:color="000000"/>
              <w:start w:val="single" w:sz="4" w:space="0" w:color="000000"/>
              <w:bottom w:val="single" w:sz="4" w:space="0" w:color="000000"/>
              <w:end w:val="single" w:sz="4" w:space="0" w:color="000000"/>
            </w:tcBorders>
          </w:tcPr>
          <w:p>
            <w:pPr>
              <w:pStyle w:val="Normal"/>
              <w:snapToGrid w:val="false"/>
              <w:ind w:start="179" w:end="0"/>
              <w:rPr>
                <w:rFonts w:ascii="Arial" w:hAnsi="Arial" w:cs="Arial"/>
              </w:rPr>
            </w:pPr>
            <w:r>
              <w:rPr>
                <w:rFonts w:cs="Arial" w:ascii="Arial" w:hAnsi="Arial"/>
              </w:rPr>
            </w:r>
          </w:p>
          <w:p>
            <w:pPr>
              <w:pStyle w:val="Normal"/>
              <w:ind w:start="179" w:end="0"/>
              <w:rPr>
                <w:rFonts w:ascii="Arial" w:hAnsi="Arial" w:cs="Arial"/>
              </w:rPr>
            </w:pPr>
            <w:r>
              <w:rPr>
                <w:rFonts w:cs="Arial" w:ascii="Arial" w:hAnsi="Arial"/>
              </w:rPr>
              <w:t xml:space="preserve">The Date of This Agreement : -    </w:t>
            </w:r>
          </w:p>
          <w:p>
            <w:pPr>
              <w:pStyle w:val="Normal"/>
              <w:ind w:start="179" w:end="0"/>
              <w:rPr>
                <w:rFonts w:ascii="Arial" w:hAnsi="Arial" w:eastAsia="Arial" w:cs="Arial"/>
              </w:rPr>
            </w:pPr>
            <w:r>
              <w:rPr>
                <w:rFonts w:eastAsia="Arial" w:cs="Arial" w:ascii="Arial" w:hAnsi="Arial"/>
              </w:rPr>
              <w:t xml:space="preserve">       </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ind w:start="720" w:end="0"/>
              <w:jc w:val="center"/>
              <w:rPr>
                <w:rFonts w:ascii="Arial" w:hAnsi="Arial" w:cs="Arial"/>
              </w:rPr>
            </w:pPr>
            <w:r>
              <w:rPr>
                <w:rFonts w:cs="Arial" w:ascii="Arial" w:hAnsi="Arial"/>
              </w:rPr>
            </w:r>
          </w:p>
          <w:p>
            <w:pPr>
              <w:pStyle w:val="Normal"/>
              <w:numPr>
                <w:ilvl w:val="0"/>
                <w:numId w:val="17"/>
              </w:numPr>
              <w:jc w:val="center"/>
              <w:rPr>
                <w:rFonts w:ascii="Arial" w:hAnsi="Arial" w:cs="Arial"/>
              </w:rPr>
            </w:pPr>
            <w:r>
              <w:rPr>
                <w:rFonts w:cs="Arial" w:ascii="Arial" w:hAnsi="Arial"/>
              </w:rPr>
            </w:r>
          </w:p>
          <w:p>
            <w:pPr>
              <w:pStyle w:val="Normal"/>
              <w:ind w:start="720" w:end="0"/>
              <w:jc w:val="center"/>
              <w:rPr>
                <w:rFonts w:ascii="Arial" w:hAnsi="Arial" w:cs="Arial"/>
              </w:rPr>
            </w:pPr>
            <w:r>
              <w:rPr>
                <w:rFonts w:cs="Arial" w:ascii="Arial" w:hAnsi="Arial"/>
              </w:rPr>
            </w:r>
          </w:p>
        </w:tc>
        <w:tc>
          <w:tcPr>
            <w:tcW w:w="7371" w:type="dxa"/>
            <w:tcBorders>
              <w:top w:val="single" w:sz="4" w:space="0" w:color="000000"/>
              <w:start w:val="single" w:sz="4" w:space="0" w:color="000000"/>
              <w:bottom w:val="single" w:sz="4" w:space="0" w:color="000000"/>
              <w:end w:val="single" w:sz="4" w:space="0" w:color="000000"/>
            </w:tcBorders>
          </w:tcPr>
          <w:p>
            <w:pPr>
              <w:pStyle w:val="Normal"/>
              <w:snapToGrid w:val="false"/>
              <w:ind w:start="179" w:end="0"/>
              <w:rPr>
                <w:rFonts w:ascii="Arial" w:hAnsi="Arial" w:cs="Arial"/>
              </w:rPr>
            </w:pPr>
            <w:r>
              <w:rPr>
                <w:rFonts w:cs="Arial" w:ascii="Arial" w:hAnsi="Arial"/>
              </w:rPr>
            </w:r>
          </w:p>
          <w:p>
            <w:pPr>
              <w:pStyle w:val="Normal"/>
              <w:ind w:start="179" w:end="0"/>
              <w:rPr>
                <w:rFonts w:ascii="Arial" w:hAnsi="Arial" w:cs="Arial"/>
              </w:rPr>
            </w:pPr>
            <w:r>
              <w:rPr>
                <w:rFonts w:cs="Arial" w:ascii="Arial" w:hAnsi="Arial"/>
              </w:rPr>
              <w:t xml:space="preserve">Name and Description of the Vendor : - </w:t>
            </w:r>
          </w:p>
          <w:p>
            <w:pPr>
              <w:pStyle w:val="Normal"/>
              <w:ind w:start="179" w:end="0"/>
              <w:rPr>
                <w:rFonts w:ascii="Arial" w:hAnsi="Arial" w:cs="Arial"/>
              </w:rPr>
            </w:pPr>
            <w:r>
              <w:rPr>
                <w:rFonts w:cs="Arial" w:ascii="Arial" w:hAnsi="Arial"/>
              </w:rPr>
            </w:r>
          </w:p>
          <w:p>
            <w:pPr>
              <w:pStyle w:val="Normal"/>
              <w:ind w:start="179" w:end="0"/>
              <w:rPr>
                <w:rFonts w:ascii="Arial" w:hAnsi="Arial" w:cs="Arial"/>
                <w:b/>
                <w:bCs/>
                <w:lang w:val="en-MY"/>
              </w:rPr>
            </w:pPr>
            <w:bookmarkStart w:id="10" w:name="_Hlk233906782"/>
            <w:r>
              <w:rPr>
                <w:rFonts w:cs="Arial" w:ascii="Arial" w:hAnsi="Arial"/>
                <w:b/>
                <w:bCs/>
                <w:lang w:val="en-MY"/>
              </w:rPr>
              <w:t>SALMI NUR AIN BINTI MOHD HILMEY</w:t>
            </w:r>
          </w:p>
          <w:p>
            <w:pPr>
              <w:pStyle w:val="Normal"/>
              <w:ind w:start="179" w:end="0"/>
              <w:rPr>
                <w:rFonts w:ascii="Arial" w:hAnsi="Arial" w:cs="Arial"/>
                <w:b/>
                <w:bCs/>
                <w:lang w:val="pt-BR"/>
              </w:rPr>
            </w:pPr>
            <w:bookmarkStart w:id="11" w:name="_Hlk233906782"/>
            <w:r>
              <w:rPr>
                <w:rFonts w:cs="Arial" w:ascii="Arial" w:hAnsi="Arial"/>
                <w:b/>
                <w:bCs/>
                <w:lang w:val="pt-BR"/>
              </w:rPr>
              <w:t>(NRIC NO: 870614-10-5202)</w:t>
            </w:r>
            <w:bookmarkEnd w:id="11"/>
          </w:p>
          <w:p>
            <w:pPr>
              <w:pStyle w:val="Normal"/>
              <w:ind w:start="179" w:end="0"/>
              <w:rPr>
                <w:rFonts w:ascii="Arial" w:hAnsi="Arial" w:cs="Arial"/>
                <w:b/>
                <w:bCs/>
                <w:lang w:val="pt-BR"/>
              </w:rPr>
            </w:pPr>
            <w:r>
              <w:rPr>
                <w:rFonts w:cs="Arial" w:ascii="Arial" w:hAnsi="Arial"/>
                <w:b/>
                <w:bCs/>
                <w:lang w:val="pt-BR"/>
              </w:rPr>
            </w:r>
          </w:p>
          <w:p>
            <w:pPr>
              <w:pStyle w:val="Normal"/>
              <w:ind w:start="179" w:end="0"/>
              <w:rPr/>
            </w:pPr>
            <w:r>
              <w:rPr>
                <w:rFonts w:cs="Arial" w:ascii="Arial" w:hAnsi="Arial"/>
                <w:b/>
                <w:bCs/>
                <w:lang w:val="pt-BR"/>
              </w:rPr>
              <w:t>No. 2, Jalan Setiamurni 10,</w:t>
            </w:r>
          </w:p>
          <w:p>
            <w:pPr>
              <w:pStyle w:val="Normal"/>
              <w:ind w:start="179" w:end="0"/>
              <w:rPr>
                <w:rFonts w:ascii="Arial" w:hAnsi="Arial" w:cs="Arial"/>
                <w:b/>
                <w:bCs/>
                <w:lang w:val="en-MY"/>
              </w:rPr>
            </w:pPr>
            <w:r>
              <w:rPr>
                <w:rFonts w:cs="Arial" w:ascii="Arial" w:hAnsi="Arial"/>
                <w:b/>
                <w:bCs/>
                <w:lang w:val="en-MY"/>
              </w:rPr>
              <w:t xml:space="preserve">Bukit Damansara, </w:t>
            </w:r>
          </w:p>
          <w:p>
            <w:pPr>
              <w:pStyle w:val="Normal"/>
              <w:ind w:start="179" w:end="0"/>
              <w:rPr>
                <w:rFonts w:ascii="Arial" w:hAnsi="Arial" w:cs="Arial"/>
                <w:b/>
                <w:bCs/>
                <w:sz w:val="16"/>
                <w:szCs w:val="16"/>
                <w:lang w:val="pt-BR"/>
              </w:rPr>
            </w:pPr>
            <w:r>
              <w:rPr>
                <w:rFonts w:cs="Arial" w:ascii="Arial" w:hAnsi="Arial"/>
                <w:b/>
                <w:bCs/>
                <w:lang w:val="en-MY"/>
              </w:rPr>
              <w:t>50490 Kuala Lumpur</w:t>
            </w:r>
            <w:bookmarkStart w:id="12" w:name="_Hlk129110487"/>
            <w:r>
              <w:rPr>
                <w:rFonts w:cs="Arial" w:ascii="Arial" w:hAnsi="Arial"/>
                <w:b/>
                <w:bCs/>
                <w:lang w:val="en-MY"/>
              </w:rPr>
              <w:t>.</w:t>
            </w:r>
          </w:p>
          <w:p>
            <w:pPr>
              <w:pStyle w:val="Normal"/>
              <w:ind w:start="179" w:end="0"/>
              <w:rPr>
                <w:rFonts w:ascii="Arial" w:hAnsi="Arial" w:cs="Arial"/>
                <w:lang w:val="en-MY"/>
              </w:rPr>
            </w:pPr>
            <w:r>
              <w:rPr>
                <w:rFonts w:eastAsia="Arial" w:cs="Arial" w:ascii="Arial" w:hAnsi="Arial"/>
                <w:b/>
                <w:bCs/>
                <w:lang w:val="en-MY"/>
              </w:rPr>
              <w:t xml:space="preserve"> </w:t>
            </w:r>
            <w:bookmarkEnd w:id="12"/>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ind w:start="720" w:end="0"/>
              <w:jc w:val="center"/>
              <w:rPr>
                <w:rFonts w:ascii="Arial" w:hAnsi="Arial" w:cs="Arial"/>
                <w:lang w:val="en-MY"/>
              </w:rPr>
            </w:pPr>
            <w:r>
              <w:rPr>
                <w:rFonts w:cs="Arial" w:ascii="Arial" w:hAnsi="Arial"/>
                <w:lang w:val="en-MY"/>
              </w:rPr>
            </w:r>
          </w:p>
          <w:p>
            <w:pPr>
              <w:pStyle w:val="Normal"/>
              <w:numPr>
                <w:ilvl w:val="0"/>
                <w:numId w:val="17"/>
              </w:numPr>
              <w:jc w:val="center"/>
              <w:rPr>
                <w:rFonts w:ascii="Arial" w:hAnsi="Arial" w:cs="Arial"/>
                <w:lang w:val="en-MY"/>
              </w:rPr>
            </w:pPr>
            <w:r>
              <w:rPr>
                <w:rFonts w:cs="Arial" w:ascii="Arial" w:hAnsi="Arial"/>
                <w:lang w:val="en-MY"/>
              </w:rPr>
            </w:r>
          </w:p>
        </w:tc>
        <w:tc>
          <w:tcPr>
            <w:tcW w:w="7371" w:type="dxa"/>
            <w:tcBorders>
              <w:top w:val="single" w:sz="4" w:space="0" w:color="000000"/>
              <w:start w:val="single" w:sz="4" w:space="0" w:color="000000"/>
              <w:bottom w:val="single" w:sz="4" w:space="0" w:color="000000"/>
              <w:end w:val="single" w:sz="4" w:space="0" w:color="000000"/>
            </w:tcBorders>
          </w:tcPr>
          <w:p>
            <w:pPr>
              <w:pStyle w:val="Normal"/>
              <w:snapToGrid w:val="false"/>
              <w:ind w:start="179" w:end="0"/>
              <w:rPr>
                <w:rFonts w:ascii="Arial" w:hAnsi="Arial" w:cs="Arial"/>
                <w:lang w:val="en-MY"/>
              </w:rPr>
            </w:pPr>
            <w:r>
              <w:rPr>
                <w:rFonts w:cs="Arial" w:ascii="Arial" w:hAnsi="Arial"/>
                <w:lang w:val="en-MY"/>
              </w:rPr>
            </w:r>
          </w:p>
          <w:p>
            <w:pPr>
              <w:pStyle w:val="Normal"/>
              <w:ind w:start="179" w:end="0"/>
              <w:rPr>
                <w:rFonts w:ascii="Arial" w:hAnsi="Arial" w:cs="Arial"/>
              </w:rPr>
            </w:pPr>
            <w:r>
              <w:rPr>
                <w:rFonts w:cs="Arial" w:ascii="Arial" w:hAnsi="Arial"/>
              </w:rPr>
              <w:t xml:space="preserve">Name and Description of the Purchaser : -   </w:t>
            </w:r>
          </w:p>
          <w:p>
            <w:pPr>
              <w:pStyle w:val="Normal"/>
              <w:ind w:start="179" w:end="0"/>
              <w:rPr>
                <w:rFonts w:ascii="Arial" w:hAnsi="Arial" w:cs="Arial"/>
              </w:rPr>
            </w:pPr>
            <w:r>
              <w:rPr>
                <w:rFonts w:cs="Arial" w:ascii="Arial" w:hAnsi="Arial"/>
              </w:rPr>
            </w:r>
          </w:p>
          <w:p>
            <w:pPr>
              <w:pStyle w:val="Normal"/>
              <w:ind w:start="179" w:end="0"/>
              <w:rPr>
                <w:rFonts w:ascii="Arial" w:hAnsi="Arial" w:cs="Arial"/>
                <w:b/>
                <w:bCs/>
                <w:lang w:val="pt-BR"/>
              </w:rPr>
            </w:pPr>
            <w:bookmarkStart w:id="13" w:name="_Hlk233907231"/>
            <w:bookmarkStart w:id="14" w:name="_Hlk233907128"/>
            <w:bookmarkStart w:id="15" w:name="_Hlk233906679"/>
            <w:bookmarkEnd w:id="15"/>
            <w:r>
              <w:rPr>
                <w:rFonts w:cs="Arial" w:ascii="Arial" w:hAnsi="Arial"/>
                <w:b/>
                <w:bCs/>
                <w:lang w:val="pt-BR"/>
              </w:rPr>
              <w:t>THINESHVARAN A/L S BALASUBRAMANIAM</w:t>
            </w:r>
            <w:bookmarkEnd w:id="13"/>
            <w:r>
              <w:rPr>
                <w:rFonts w:cs="Arial" w:ascii="Arial" w:hAnsi="Arial"/>
                <w:b/>
                <w:bCs/>
                <w:lang w:val="pt-BR"/>
              </w:rPr>
              <w:t xml:space="preserve">  </w:t>
            </w:r>
          </w:p>
          <w:p>
            <w:pPr>
              <w:pStyle w:val="Normal"/>
              <w:ind w:start="179" w:end="0"/>
              <w:rPr>
                <w:rFonts w:ascii="Arial" w:hAnsi="Arial" w:cs="Arial"/>
                <w:b/>
                <w:bCs/>
                <w:lang w:val="pt-BR"/>
              </w:rPr>
            </w:pPr>
            <w:r>
              <w:rPr>
                <w:rFonts w:cs="Arial" w:ascii="Arial" w:hAnsi="Arial"/>
                <w:b/>
                <w:bCs/>
                <w:lang w:val="pt-BR"/>
              </w:rPr>
              <w:t xml:space="preserve">(NRIC NO. </w:t>
            </w:r>
            <w:bookmarkStart w:id="16" w:name="_Hlk233907240"/>
            <w:r>
              <w:rPr>
                <w:rFonts w:cs="Arial" w:ascii="Arial" w:hAnsi="Arial"/>
                <w:b/>
                <w:bCs/>
                <w:lang w:val="pt-BR"/>
              </w:rPr>
              <w:t>971129-10-6925</w:t>
            </w:r>
            <w:bookmarkEnd w:id="16"/>
            <w:r>
              <w:rPr>
                <w:rFonts w:cs="Arial" w:ascii="Arial" w:hAnsi="Arial"/>
                <w:b/>
                <w:bCs/>
                <w:lang w:val="pt-BR"/>
              </w:rPr>
              <w:t>)</w:t>
              <w:tab/>
            </w:r>
          </w:p>
          <w:p>
            <w:pPr>
              <w:pStyle w:val="Normal"/>
              <w:spacing w:lineRule="auto" w:line="276"/>
              <w:rPr>
                <w:rFonts w:ascii="Arial" w:hAnsi="Arial" w:cs="Arial"/>
                <w:b/>
                <w:bCs/>
                <w:sz w:val="16"/>
                <w:szCs w:val="16"/>
                <w:lang w:val="pt-BR"/>
              </w:rPr>
            </w:pPr>
            <w:r>
              <w:rPr>
                <w:rFonts w:cs="Arial" w:ascii="Arial" w:hAnsi="Arial"/>
                <w:b/>
                <w:bCs/>
                <w:sz w:val="16"/>
                <w:szCs w:val="16"/>
                <w:lang w:val="pt-BR"/>
              </w:rPr>
            </w:r>
          </w:p>
          <w:p>
            <w:pPr>
              <w:pStyle w:val="Normal"/>
              <w:spacing w:lineRule="auto" w:line="276"/>
              <w:rPr/>
            </w:pPr>
            <w:r>
              <w:rPr>
                <w:rFonts w:eastAsia="Arial" w:cs="Arial" w:ascii="Arial" w:hAnsi="Arial"/>
                <w:b/>
                <w:bCs/>
                <w:lang w:val="pt-BR"/>
              </w:rPr>
              <w:t xml:space="preserve">   </w:t>
            </w:r>
            <w:bookmarkStart w:id="17" w:name="_Hlk233907250"/>
            <w:r>
              <w:rPr>
                <w:rFonts w:cs="Arial" w:ascii="Arial" w:hAnsi="Arial"/>
                <w:b/>
                <w:bCs/>
                <w:lang w:val="pt-BR"/>
              </w:rPr>
              <w:t>GAUSSALYA A/P KANNAN</w:t>
            </w:r>
            <w:bookmarkEnd w:id="17"/>
            <w:r>
              <w:rPr>
                <w:rFonts w:cs="Arial" w:ascii="Arial" w:hAnsi="Arial"/>
                <w:b/>
                <w:bCs/>
                <w:lang w:val="pt-BR"/>
              </w:rPr>
              <w:t xml:space="preserve"> </w:t>
            </w:r>
          </w:p>
          <w:p>
            <w:pPr>
              <w:pStyle w:val="Normal"/>
              <w:rPr>
                <w:rFonts w:ascii="Arial" w:hAnsi="Arial" w:cs="Arial"/>
                <w:lang w:val="pt-BR"/>
              </w:rPr>
            </w:pPr>
            <w:r>
              <w:rPr>
                <w:rFonts w:eastAsia="Arial" w:cs="Arial" w:ascii="Arial" w:hAnsi="Arial"/>
                <w:b/>
                <w:bCs/>
                <w:lang w:val="pt-BR"/>
              </w:rPr>
              <w:t xml:space="preserve">   </w:t>
            </w:r>
            <w:r>
              <w:rPr>
                <w:rFonts w:cs="Arial" w:ascii="Arial" w:hAnsi="Arial"/>
                <w:b/>
                <w:bCs/>
                <w:lang w:val="pt-BR"/>
              </w:rPr>
              <w:t xml:space="preserve">(NRIC NO. </w:t>
            </w:r>
            <w:bookmarkStart w:id="18" w:name="_Hlk233907259"/>
            <w:r>
              <w:rPr>
                <w:rFonts w:cs="Arial" w:ascii="Arial" w:hAnsi="Arial"/>
                <w:b/>
                <w:bCs/>
                <w:lang w:val="pt-BR"/>
              </w:rPr>
              <w:t>991031-08-5204</w:t>
            </w:r>
            <w:bookmarkEnd w:id="18"/>
            <w:r>
              <w:rPr>
                <w:rFonts w:cs="Arial" w:ascii="Arial" w:hAnsi="Arial"/>
                <w:b/>
                <w:bCs/>
                <w:lang w:val="pt-BR"/>
              </w:rPr>
              <w:t>)</w:t>
            </w:r>
          </w:p>
          <w:p>
            <w:pPr>
              <w:pStyle w:val="Normal"/>
              <w:tabs>
                <w:tab w:val="clear" w:pos="720"/>
                <w:tab w:val="center" w:pos="3667" w:leader="none"/>
              </w:tabs>
              <w:rPr>
                <w:rFonts w:ascii="Arial" w:hAnsi="Arial" w:cs="Arial"/>
                <w:lang w:val="pt-BR"/>
              </w:rPr>
            </w:pPr>
            <w:r>
              <w:rPr>
                <w:rFonts w:cs="Arial" w:ascii="Arial" w:hAnsi="Arial"/>
                <w:lang w:val="pt-BR"/>
              </w:rPr>
            </w:r>
          </w:p>
          <w:p>
            <w:pPr>
              <w:pStyle w:val="Normal"/>
              <w:ind w:start="179" w:end="0"/>
              <w:rPr/>
            </w:pPr>
            <w:r>
              <w:rPr>
                <w:rFonts w:cs="Arial" w:ascii="Arial" w:hAnsi="Arial"/>
                <w:b/>
                <w:bCs/>
                <w:lang w:val="pt-BR"/>
              </w:rPr>
              <w:t>No. 5, Jalan Kenanga 4,</w:t>
            </w:r>
          </w:p>
          <w:p>
            <w:pPr>
              <w:pStyle w:val="Normal"/>
              <w:ind w:start="179" w:end="0"/>
              <w:rPr>
                <w:rFonts w:ascii="Arial" w:hAnsi="Arial" w:cs="Arial"/>
                <w:b/>
                <w:bCs/>
                <w:lang w:val="pt-BR"/>
              </w:rPr>
            </w:pPr>
            <w:r>
              <w:rPr>
                <w:rFonts w:cs="Arial" w:ascii="Arial" w:hAnsi="Arial"/>
                <w:b/>
                <w:bCs/>
                <w:lang w:val="pt-BR"/>
              </w:rPr>
              <w:t>Taman Dengkil Jaya,</w:t>
            </w:r>
          </w:p>
          <w:p>
            <w:pPr>
              <w:pStyle w:val="Normal"/>
              <w:ind w:start="179" w:end="0"/>
              <w:rPr>
                <w:rFonts w:ascii="Arial" w:hAnsi="Arial" w:cs="Arial"/>
                <w:b/>
                <w:bCs/>
                <w:lang w:val="pt-BR"/>
              </w:rPr>
            </w:pPr>
            <w:r>
              <w:rPr>
                <w:rFonts w:cs="Arial" w:ascii="Arial" w:hAnsi="Arial"/>
                <w:b/>
                <w:bCs/>
                <w:lang w:val="pt-BR"/>
              </w:rPr>
              <w:t>43800 Dengkil,</w:t>
            </w:r>
          </w:p>
          <w:p>
            <w:pPr>
              <w:pStyle w:val="Normal"/>
              <w:tabs>
                <w:tab w:val="clear" w:pos="720"/>
                <w:tab w:val="center" w:pos="3667" w:leader="none"/>
              </w:tabs>
              <w:rPr>
                <w:rFonts w:ascii="Arial" w:hAnsi="Arial" w:cs="Arial"/>
              </w:rPr>
            </w:pPr>
            <w:r>
              <w:rPr>
                <w:rFonts w:eastAsia="Arial" w:cs="Arial" w:ascii="Arial" w:hAnsi="Arial"/>
                <w:b/>
                <w:bCs/>
                <w:lang w:val="en-MY"/>
              </w:rPr>
              <w:t xml:space="preserve">  </w:t>
            </w:r>
            <w:r>
              <w:rPr>
                <w:rFonts w:cs="Arial" w:ascii="Arial" w:hAnsi="Arial"/>
                <w:b/>
                <w:bCs/>
                <w:lang w:val="en-MY"/>
              </w:rPr>
              <w:t>Selangor.</w:t>
            </w:r>
            <w:bookmarkEnd w:id="14"/>
            <w:r>
              <w:rPr>
                <w:rFonts w:cs="Arial" w:ascii="Arial" w:hAnsi="Arial"/>
                <w:b/>
                <w:bCs/>
                <w:lang w:val="en-MY"/>
              </w:rPr>
              <w:t xml:space="preserve"> </w:t>
            </w:r>
          </w:p>
          <w:p>
            <w:pPr>
              <w:pStyle w:val="Normal"/>
              <w:tabs>
                <w:tab w:val="clear" w:pos="720"/>
                <w:tab w:val="center" w:pos="3667" w:leader="none"/>
              </w:tabs>
              <w:rPr>
                <w:rFonts w:ascii="Arial" w:hAnsi="Arial" w:cs="Arial"/>
              </w:rPr>
            </w:pPr>
            <w:r>
              <w:rPr>
                <w:rFonts w:cs="Arial" w:ascii="Arial" w:hAnsi="Arial"/>
              </w:rPr>
            </w:r>
            <w:bookmarkStart w:id="19" w:name="_Hlk233906679"/>
            <w:bookmarkStart w:id="20" w:name="_Hlk233906679"/>
            <w:bookmarkEnd w:id="20"/>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ind w:start="720" w:end="0"/>
              <w:jc w:val="center"/>
              <w:rPr>
                <w:rFonts w:ascii="Arial" w:hAnsi="Arial" w:cs="Arial"/>
              </w:rPr>
            </w:pPr>
            <w:r>
              <w:rPr>
                <w:rFonts w:cs="Arial" w:ascii="Arial" w:hAnsi="Arial"/>
              </w:rPr>
            </w:r>
          </w:p>
          <w:p>
            <w:pPr>
              <w:pStyle w:val="Normal"/>
              <w:numPr>
                <w:ilvl w:val="0"/>
                <w:numId w:val="17"/>
              </w:numPr>
              <w:jc w:val="center"/>
              <w:rPr>
                <w:rFonts w:ascii="Arial" w:hAnsi="Arial" w:cs="Arial"/>
              </w:rPr>
            </w:pPr>
            <w:r>
              <w:rPr>
                <w:rFonts w:cs="Arial" w:ascii="Arial" w:hAnsi="Arial"/>
              </w:rPr>
            </w:r>
          </w:p>
        </w:tc>
        <w:tc>
          <w:tcPr>
            <w:tcW w:w="7371" w:type="dxa"/>
            <w:tcBorders>
              <w:top w:val="single" w:sz="4" w:space="0" w:color="000000"/>
              <w:start w:val="single" w:sz="4" w:space="0" w:color="000000"/>
              <w:bottom w:val="single" w:sz="4" w:space="0" w:color="000000"/>
              <w:end w:val="single" w:sz="4" w:space="0" w:color="000000"/>
            </w:tcBorders>
          </w:tcPr>
          <w:p>
            <w:pPr>
              <w:pStyle w:val="Normal"/>
              <w:snapToGrid w:val="false"/>
              <w:ind w:start="179" w:end="0"/>
              <w:rPr>
                <w:rFonts w:ascii="Arial" w:hAnsi="Arial" w:cs="Arial"/>
              </w:rPr>
            </w:pPr>
            <w:r>
              <w:rPr>
                <w:rFonts w:cs="Arial" w:ascii="Arial" w:hAnsi="Arial"/>
              </w:rPr>
            </w:r>
          </w:p>
          <w:p>
            <w:pPr>
              <w:pStyle w:val="Normal"/>
              <w:ind w:start="179" w:end="0"/>
              <w:rPr>
                <w:rFonts w:ascii="Arial" w:hAnsi="Arial" w:cs="Arial"/>
              </w:rPr>
            </w:pPr>
            <w:r>
              <w:rPr>
                <w:rFonts w:cs="Arial" w:ascii="Arial" w:hAnsi="Arial"/>
              </w:rPr>
              <w:t xml:space="preserve">Description of the Said Property : - </w:t>
            </w:r>
          </w:p>
          <w:p>
            <w:pPr>
              <w:pStyle w:val="Normal"/>
              <w:ind w:start="179" w:end="0"/>
              <w:rPr>
                <w:rFonts w:ascii="Arial" w:hAnsi="Arial" w:cs="Arial"/>
              </w:rPr>
            </w:pPr>
            <w:r>
              <w:rPr>
                <w:rFonts w:cs="Arial" w:ascii="Arial" w:hAnsi="Arial"/>
              </w:rPr>
            </w:r>
          </w:p>
          <w:p>
            <w:pPr>
              <w:pStyle w:val="Normal"/>
              <w:tabs>
                <w:tab w:val="clear" w:pos="720"/>
                <w:tab w:val="center" w:pos="3667" w:leader="none"/>
              </w:tabs>
              <w:jc w:val="both"/>
              <w:rPr>
                <w:rFonts w:ascii="Arial" w:hAnsi="Arial" w:cs="Arial"/>
                <w:b/>
                <w:bCs/>
              </w:rPr>
            </w:pPr>
            <w:bookmarkStart w:id="21" w:name="_Hlk233906737"/>
            <w:r>
              <w:rPr>
                <w:rFonts w:cs="Arial" w:ascii="Arial" w:hAnsi="Arial"/>
              </w:rPr>
              <w:t xml:space="preserve">One (1) parcel of Apartment held under Strata Title No. </w:t>
            </w:r>
            <w:r>
              <w:rPr>
                <w:rFonts w:cs="Arial" w:ascii="Arial" w:hAnsi="Arial"/>
                <w:b/>
                <w:bCs/>
              </w:rPr>
              <w:t>Geran 267134/M16-C/20/970 No. Bangunan M16-C, No. Tingkat 20, No. Petak 970, Lot 44028, Mukim of Dengkil, District of Sepang, State of Selangor</w:t>
            </w:r>
            <w:r>
              <w:rPr>
                <w:rFonts w:cs="Arial" w:ascii="Arial" w:hAnsi="Arial"/>
              </w:rPr>
              <w:t xml:space="preserve"> together with accessory parcel </w:t>
            </w:r>
            <w:r>
              <w:rPr>
                <w:rFonts w:cs="Arial" w:ascii="Arial" w:hAnsi="Arial"/>
                <w:b/>
                <w:bCs/>
              </w:rPr>
              <w:t>No. A1131</w:t>
            </w:r>
            <w:r>
              <w:rPr>
                <w:rFonts w:cs="Arial" w:ascii="Arial" w:hAnsi="Arial"/>
              </w:rPr>
              <w:t xml:space="preserve"> measuring in area approximately </w:t>
            </w:r>
            <w:r>
              <w:rPr>
                <w:rFonts w:cs="Arial" w:ascii="Arial" w:hAnsi="Arial"/>
                <w:b/>
                <w:bCs/>
              </w:rPr>
              <w:t>56</w:t>
            </w:r>
            <w:r>
              <w:rPr>
                <w:rFonts w:cs="Arial" w:ascii="Arial" w:hAnsi="Arial"/>
              </w:rPr>
              <w:t xml:space="preserve"> square feet and bearing postal address at </w:t>
            </w:r>
            <w:r>
              <w:rPr>
                <w:rFonts w:cs="Arial" w:ascii="Arial" w:hAnsi="Arial"/>
                <w:b/>
                <w:bCs/>
              </w:rPr>
              <w:t>D-19-03, Domain 3, NeoCyber, Lingkaran Cyber Point Barat Off, Cyber 12, 63000 Cyberjaya Selangor.</w:t>
            </w:r>
            <w:bookmarkEnd w:id="21"/>
            <w:r>
              <w:rPr>
                <w:rFonts w:cs="Arial" w:ascii="Arial" w:hAnsi="Arial"/>
              </w:rPr>
              <w:t xml:space="preserve"> </w:t>
            </w:r>
          </w:p>
          <w:p>
            <w:pPr>
              <w:pStyle w:val="Normal"/>
              <w:ind w:end="420"/>
              <w:jc w:val="both"/>
              <w:rPr>
                <w:rFonts w:ascii="Arial" w:hAnsi="Arial" w:cs="Arial"/>
                <w:b/>
                <w:bCs/>
              </w:rPr>
            </w:pPr>
            <w:r>
              <w:rPr>
                <w:rFonts w:cs="Arial" w:ascii="Arial" w:hAnsi="Arial"/>
                <w:b/>
                <w:bCs/>
              </w:rPr>
            </w:r>
          </w:p>
        </w:tc>
      </w:tr>
      <w:tr>
        <w:trPr>
          <w:trHeight w:val="1139" w:hRule="atLeast"/>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ind w:start="720" w:end="0"/>
              <w:jc w:val="center"/>
              <w:rPr>
                <w:rFonts w:ascii="Arial" w:hAnsi="Arial" w:cs="Arial"/>
              </w:rPr>
            </w:pPr>
            <w:r>
              <w:rPr>
                <w:rFonts w:cs="Arial" w:ascii="Arial" w:hAnsi="Arial"/>
              </w:rPr>
            </w:r>
          </w:p>
          <w:p>
            <w:pPr>
              <w:pStyle w:val="Normal"/>
              <w:numPr>
                <w:ilvl w:val="0"/>
                <w:numId w:val="17"/>
              </w:numPr>
              <w:jc w:val="center"/>
              <w:rPr>
                <w:rFonts w:ascii="Arial" w:hAnsi="Arial" w:cs="Arial"/>
              </w:rPr>
            </w:pPr>
            <w:r>
              <w:rPr>
                <w:rFonts w:cs="Arial" w:ascii="Arial" w:hAnsi="Arial"/>
              </w:rPr>
            </w:r>
          </w:p>
        </w:tc>
        <w:tc>
          <w:tcPr>
            <w:tcW w:w="737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p>
            <w:pPr>
              <w:pStyle w:val="Normal"/>
              <w:ind w:start="179" w:end="419"/>
              <w:rPr>
                <w:rFonts w:ascii="Arial" w:hAnsi="Arial" w:cs="Arial"/>
              </w:rPr>
            </w:pPr>
            <w:r>
              <w:rPr>
                <w:rFonts w:cs="Arial" w:ascii="Arial" w:hAnsi="Arial"/>
              </w:rPr>
              <w:t xml:space="preserve">Description of the Vendor’s Financier : - </w:t>
            </w:r>
          </w:p>
          <w:p>
            <w:pPr>
              <w:pStyle w:val="Normal"/>
              <w:ind w:start="179" w:end="419"/>
              <w:jc w:val="both"/>
              <w:rPr>
                <w:rFonts w:ascii="Arial" w:hAnsi="Arial" w:cs="Arial"/>
                <w:b/>
                <w:bCs/>
              </w:rPr>
            </w:pPr>
            <w:r>
              <w:rPr>
                <w:rFonts w:cs="Arial" w:ascii="Arial" w:hAnsi="Arial"/>
                <w:b/>
                <w:bCs/>
              </w:rPr>
            </w:r>
          </w:p>
          <w:p>
            <w:pPr>
              <w:pStyle w:val="Normal"/>
              <w:numPr>
                <w:ilvl w:val="0"/>
                <w:numId w:val="7"/>
              </w:numPr>
              <w:ind w:hanging="360" w:start="1290" w:end="419"/>
              <w:jc w:val="both"/>
              <w:rPr>
                <w:rFonts w:ascii="Arial" w:hAnsi="Arial" w:cs="Arial"/>
                <w:b/>
                <w:bCs/>
              </w:rPr>
            </w:pPr>
            <w:r>
              <w:rPr>
                <w:rFonts w:cs="Arial" w:ascii="Arial" w:hAnsi="Arial"/>
                <w:b/>
                <w:bCs/>
              </w:rPr>
              <w:t xml:space="preserve">NIL - </w:t>
            </w:r>
          </w:p>
        </w:tc>
      </w:tr>
    </w:tbl>
    <w:p>
      <w:pPr>
        <w:pStyle w:val="Heading2"/>
        <w:ind w:hanging="0" w:start="0"/>
        <w:rPr>
          <w:rFonts w:ascii="Arial" w:hAnsi="Arial" w:cs="Arial"/>
        </w:rPr>
      </w:pPr>
      <w:r>
        <w:rPr>
          <w:rFonts w:cs="Arial" w:ascii="Arial" w:hAnsi="Arial"/>
        </w:rPr>
        <w:t>SECOND  SCHEDULE</w:t>
      </w:r>
    </w:p>
    <w:p>
      <w:pPr>
        <w:pStyle w:val="Normal"/>
        <w:jc w:val="center"/>
        <w:rPr>
          <w:rFonts w:ascii="Arial" w:hAnsi="Arial" w:cs="Arial"/>
          <w:b/>
          <w:bCs/>
          <w:sz w:val="10"/>
        </w:rPr>
      </w:pPr>
      <w:r>
        <w:rPr>
          <w:rFonts w:cs="Arial" w:ascii="Arial" w:hAnsi="Arial"/>
          <w:b/>
          <w:bCs/>
          <w:sz w:val="10"/>
        </w:rPr>
      </w:r>
    </w:p>
    <w:p>
      <w:pPr>
        <w:pStyle w:val="Normal"/>
        <w:jc w:val="center"/>
        <w:rPr>
          <w:rFonts w:ascii="Arial" w:hAnsi="Arial" w:cs="Arial"/>
          <w:b/>
          <w:bCs/>
          <w:sz w:val="10"/>
        </w:rPr>
      </w:pPr>
      <w:r>
        <w:rPr>
          <w:rFonts w:cs="Arial" w:ascii="Arial" w:hAnsi="Arial"/>
          <w:b/>
          <w:bCs/>
          <w:sz w:val="10"/>
        </w:rPr>
      </w:r>
    </w:p>
    <w:tbl>
      <w:tblPr>
        <w:tblW w:w="8856" w:type="dxa"/>
        <w:jc w:val="start"/>
        <w:tblInd w:w="0" w:type="dxa"/>
        <w:tblLayout w:type="fixed"/>
        <w:tblCellMar>
          <w:top w:w="0" w:type="dxa"/>
          <w:start w:w="108" w:type="dxa"/>
          <w:bottom w:w="0" w:type="dxa"/>
          <w:end w:w="108" w:type="dxa"/>
        </w:tblCellMar>
      </w:tblPr>
      <w:tblGrid>
        <w:gridCol w:w="1809"/>
        <w:gridCol w:w="7047"/>
      </w:tblGrid>
      <w:tr>
        <w:trPr/>
        <w:tc>
          <w:tcPr>
            <w:tcW w:w="1809" w:type="dxa"/>
            <w:tcBorders>
              <w:top w:val="single" w:sz="6" w:space="0" w:color="000000"/>
              <w:start w:val="single" w:sz="4" w:space="0" w:color="000000"/>
              <w:bottom w:val="single" w:sz="6" w:space="0" w:color="000000"/>
              <w:end w:val="single" w:sz="6" w:space="0" w:color="000000"/>
            </w:tcBorders>
          </w:tcPr>
          <w:p>
            <w:pPr>
              <w:pStyle w:val="Normal"/>
              <w:snapToGrid w:val="false"/>
              <w:jc w:val="center"/>
              <w:rPr>
                <w:rFonts w:ascii="Arial" w:hAnsi="Arial" w:cs="Arial"/>
                <w:sz w:val="12"/>
                <w:szCs w:val="16"/>
              </w:rPr>
            </w:pPr>
            <w:r>
              <w:rPr>
                <w:rFonts w:cs="Arial" w:ascii="Arial" w:hAnsi="Arial"/>
                <w:sz w:val="12"/>
                <w:szCs w:val="16"/>
              </w:rPr>
            </w:r>
          </w:p>
          <w:p>
            <w:pPr>
              <w:pStyle w:val="Normal"/>
              <w:jc w:val="center"/>
              <w:rPr>
                <w:rFonts w:ascii="Arial" w:hAnsi="Arial" w:cs="Arial"/>
              </w:rPr>
            </w:pPr>
            <w:r>
              <w:rPr>
                <w:rFonts w:cs="Arial" w:ascii="Arial" w:hAnsi="Arial"/>
              </w:rPr>
              <w:t>SECTION</w:t>
            </w:r>
          </w:p>
        </w:tc>
        <w:tc>
          <w:tcPr>
            <w:tcW w:w="7047" w:type="dxa"/>
            <w:tcBorders>
              <w:top w:val="single" w:sz="4" w:space="0" w:color="000000"/>
              <w:start w:val="single" w:sz="6" w:space="0" w:color="000000"/>
              <w:bottom w:val="single" w:sz="4" w:space="0" w:color="000000"/>
              <w:end w:val="single" w:sz="6" w:space="0" w:color="000000"/>
            </w:tcBorders>
          </w:tcPr>
          <w:p>
            <w:pPr>
              <w:pStyle w:val="Normal"/>
              <w:snapToGrid w:val="false"/>
              <w:ind w:firstLine="720" w:start="183" w:end="0"/>
              <w:jc w:val="both"/>
              <w:rPr>
                <w:rFonts w:ascii="Arial" w:hAnsi="Arial" w:cs="Arial"/>
                <w:sz w:val="12"/>
                <w:szCs w:val="16"/>
              </w:rPr>
            </w:pPr>
            <w:r>
              <w:rPr>
                <w:rFonts w:cs="Arial" w:ascii="Arial" w:hAnsi="Arial"/>
                <w:sz w:val="12"/>
                <w:szCs w:val="16"/>
              </w:rPr>
            </w:r>
          </w:p>
          <w:p>
            <w:pPr>
              <w:pStyle w:val="Normal"/>
              <w:tabs>
                <w:tab w:val="clear" w:pos="720"/>
                <w:tab w:val="left" w:pos="2880" w:leader="none"/>
              </w:tabs>
              <w:ind w:start="183" w:end="0"/>
              <w:jc w:val="both"/>
              <w:rPr>
                <w:rFonts w:ascii="Arial" w:hAnsi="Arial" w:cs="Arial"/>
              </w:rPr>
            </w:pPr>
            <w:r>
              <w:rPr>
                <w:rFonts w:cs="Arial" w:ascii="Arial" w:hAnsi="Arial"/>
              </w:rPr>
              <w:t>PARTICULARS</w:t>
            </w:r>
          </w:p>
          <w:p>
            <w:pPr>
              <w:pStyle w:val="Normal"/>
              <w:ind w:firstLine="720" w:start="183" w:end="0"/>
              <w:jc w:val="both"/>
              <w:rPr>
                <w:rFonts w:ascii="Arial" w:hAnsi="Arial" w:cs="Arial"/>
                <w:sz w:val="10"/>
                <w:szCs w:val="16"/>
              </w:rPr>
            </w:pPr>
            <w:r>
              <w:rPr>
                <w:rFonts w:cs="Arial" w:ascii="Arial" w:hAnsi="Arial"/>
                <w:sz w:val="10"/>
                <w:szCs w:val="16"/>
              </w:rPr>
            </w:r>
          </w:p>
        </w:tc>
      </w:tr>
      <w:tr>
        <w:trPr/>
        <w:tc>
          <w:tcPr>
            <w:tcW w:w="1809" w:type="dxa"/>
            <w:tcBorders>
              <w:top w:val="single" w:sz="6"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6"/>
                <w:szCs w:val="16"/>
              </w:rPr>
            </w:pPr>
            <w:r>
              <w:rPr>
                <w:rFonts w:cs="Arial" w:ascii="Arial" w:hAnsi="Arial"/>
                <w:sz w:val="16"/>
                <w:szCs w:val="16"/>
              </w:rPr>
            </w:r>
          </w:p>
          <w:p>
            <w:pPr>
              <w:pStyle w:val="Normal"/>
              <w:numPr>
                <w:ilvl w:val="0"/>
                <w:numId w:val="13"/>
              </w:numPr>
              <w:jc w:val="center"/>
              <w:rPr>
                <w:rFonts w:ascii="Arial" w:hAnsi="Arial" w:cs="Arial"/>
                <w:sz w:val="16"/>
                <w:szCs w:val="16"/>
              </w:rPr>
            </w:pPr>
            <w:r>
              <w:rPr>
                <w:rFonts w:cs="Arial" w:ascii="Arial" w:hAnsi="Arial"/>
                <w:sz w:val="16"/>
                <w:szCs w:val="16"/>
              </w:rPr>
            </w:r>
          </w:p>
        </w:tc>
        <w:tc>
          <w:tcPr>
            <w:tcW w:w="7047" w:type="dxa"/>
            <w:tcBorders>
              <w:top w:val="single" w:sz="4" w:space="0" w:color="000000"/>
              <w:start w:val="single" w:sz="4" w:space="0" w:color="000000"/>
              <w:bottom w:val="single" w:sz="4" w:space="0" w:color="000000"/>
              <w:end w:val="single" w:sz="6" w:space="0" w:color="000000"/>
            </w:tcBorders>
          </w:tcPr>
          <w:p>
            <w:pPr>
              <w:pStyle w:val="Normal"/>
              <w:snapToGrid w:val="false"/>
              <w:ind w:hanging="130" w:start="313" w:end="136"/>
              <w:jc w:val="both"/>
              <w:rPr>
                <w:rFonts w:ascii="Arial" w:hAnsi="Arial" w:cs="Arial"/>
                <w:sz w:val="16"/>
                <w:szCs w:val="16"/>
              </w:rPr>
            </w:pPr>
            <w:r>
              <w:rPr>
                <w:rFonts w:cs="Arial" w:ascii="Arial" w:hAnsi="Arial"/>
                <w:sz w:val="16"/>
                <w:szCs w:val="16"/>
              </w:rPr>
            </w:r>
          </w:p>
          <w:p>
            <w:pPr>
              <w:pStyle w:val="Normal"/>
              <w:spacing w:lineRule="auto" w:line="360"/>
              <w:ind w:hanging="130" w:start="313" w:end="136"/>
              <w:jc w:val="both"/>
              <w:rPr/>
            </w:pPr>
            <w:r>
              <w:rPr>
                <w:rFonts w:cs="Arial" w:ascii="Arial" w:hAnsi="Arial"/>
              </w:rPr>
              <w:t>Deposit sum paid upon execution of this Agreement : -</w:t>
            </w:r>
          </w:p>
          <w:p>
            <w:pPr>
              <w:pStyle w:val="Normal"/>
              <w:numPr>
                <w:ilvl w:val="0"/>
                <w:numId w:val="6"/>
              </w:numPr>
              <w:ind w:hanging="438" w:start="621" w:end="136"/>
              <w:jc w:val="both"/>
              <w:rPr>
                <w:rFonts w:ascii="Arial" w:hAnsi="Arial" w:cs="Arial"/>
              </w:rPr>
            </w:pPr>
            <w:r>
              <w:rPr>
                <w:rFonts w:cs="Arial" w:ascii="Arial" w:hAnsi="Arial"/>
              </w:rPr>
              <w:t xml:space="preserve">Earnest Deposit </w:t>
            </w:r>
          </w:p>
          <w:p>
            <w:pPr>
              <w:pStyle w:val="Normal"/>
              <w:ind w:start="621" w:end="136"/>
              <w:jc w:val="both"/>
              <w:rPr>
                <w:rFonts w:ascii="Arial" w:hAnsi="Arial" w:cs="Arial"/>
              </w:rPr>
            </w:pPr>
            <w:commentRangeStart w:id="36"/>
            <w:r>
              <w:rPr>
                <w:rFonts w:cs="Arial" w:ascii="Arial" w:hAnsi="Arial"/>
                <w:highlight w:val="yellow"/>
              </w:rPr>
              <w:t xml:space="preserve">RINGGIT MALAYSIA: </w:t>
            </w:r>
            <w:r>
              <w:rPr>
                <w:rFonts w:cs="Arial" w:ascii="Arial" w:hAnsi="Arial"/>
                <w:b/>
                <w:bCs/>
                <w:highlight w:val="yellow"/>
              </w:rPr>
              <w:t xml:space="preserve">FIVE THOUSAND ONE HUNDRED AND EIGHTY- FOUR ONLY </w:t>
            </w:r>
            <w:r>
              <w:rPr>
                <w:rFonts w:cs="Arial" w:ascii="Arial" w:hAnsi="Arial"/>
                <w:b/>
                <w:highlight w:val="yellow"/>
              </w:rPr>
              <w:t>(RM5,184.00) ONLY</w:t>
            </w:r>
            <w:r>
              <w:rPr>
                <w:rFonts w:cs="Arial" w:ascii="Arial" w:hAnsi="Arial"/>
                <w:bCs/>
              </w:rPr>
              <w:t xml:space="preserve"> </w:t>
            </w:r>
            <w:r>
              <w:rPr>
                <w:rFonts w:cs="Arial" w:ascii="Arial" w:hAnsi="Arial"/>
                <w:highlight w:val="yellow"/>
              </w:rPr>
              <w:t xml:space="preserve">(paid by the Purchaser to the Vendor’s agent namely </w:t>
            </w:r>
            <w:r>
              <w:rPr>
                <w:rFonts w:cs="Arial" w:ascii="Arial" w:hAnsi="Arial"/>
                <w:b/>
                <w:bCs/>
                <w:highlight w:val="yellow"/>
              </w:rPr>
              <w:t>IQI Realty Sdn Bhd</w:t>
            </w:r>
            <w:r>
              <w:rPr>
                <w:rFonts w:cs="Arial" w:ascii="Arial" w:hAnsi="Arial"/>
                <w:highlight w:val="yellow"/>
              </w:rPr>
              <w:t xml:space="preserve"> as stakeholders prior to execution of this Agreement);</w:t>
            </w:r>
            <w:commentRangeEnd w:id="36"/>
            <w:r>
              <w:rPr>
                <w:rStyle w:val="CommentReference"/>
              </w:rPr>
              <w:commentReference w:id="36"/>
            </w:r>
          </w:p>
          <w:p>
            <w:pPr>
              <w:pStyle w:val="Normal"/>
              <w:ind w:end="136"/>
              <w:jc w:val="both"/>
              <w:rPr>
                <w:rFonts w:ascii="Arial" w:hAnsi="Arial" w:cs="Arial"/>
              </w:rPr>
            </w:pPr>
            <w:r>
              <w:rPr>
                <w:rFonts w:cs="Arial" w:ascii="Arial" w:hAnsi="Arial"/>
              </w:rPr>
            </w:r>
          </w:p>
          <w:p>
            <w:pPr>
              <w:pStyle w:val="Normal"/>
              <w:numPr>
                <w:ilvl w:val="0"/>
                <w:numId w:val="6"/>
              </w:numPr>
              <w:ind w:hanging="438" w:start="621" w:end="136"/>
              <w:jc w:val="both"/>
              <w:rPr>
                <w:rFonts w:ascii="Arial" w:hAnsi="Arial" w:cs="Arial"/>
              </w:rPr>
            </w:pPr>
            <w:r>
              <w:rPr>
                <w:rFonts w:cs="Arial" w:ascii="Arial" w:hAnsi="Arial"/>
              </w:rPr>
              <w:t xml:space="preserve">Balance Deposit </w:t>
            </w:r>
          </w:p>
          <w:p>
            <w:pPr>
              <w:pStyle w:val="Normal"/>
              <w:ind w:hanging="438" w:start="621" w:end="136"/>
              <w:jc w:val="both"/>
              <w:rPr/>
            </w:pPr>
            <w:r>
              <w:rPr>
                <w:rFonts w:eastAsia="Arial" w:cs="Arial" w:ascii="Arial" w:hAnsi="Arial"/>
              </w:rPr>
              <w:t xml:space="preserve">       </w:t>
            </w:r>
            <w:r>
              <w:rPr>
                <w:rFonts w:cs="Arial" w:ascii="Arial" w:hAnsi="Arial"/>
                <w:b/>
                <w:bCs/>
              </w:rPr>
              <w:t xml:space="preserve">NOT APPLICABLE        </w:t>
            </w:r>
          </w:p>
          <w:p>
            <w:pPr>
              <w:pStyle w:val="Normal"/>
              <w:tabs>
                <w:tab w:val="clear" w:pos="720"/>
                <w:tab w:val="left" w:pos="596" w:leader="none"/>
              </w:tabs>
              <w:ind w:hanging="130" w:start="313" w:end="136"/>
              <w:jc w:val="both"/>
              <w:rPr>
                <w:rFonts w:ascii="Arial" w:hAnsi="Arial" w:cs="Arial"/>
                <w:b/>
                <w:bCs/>
                <w:sz w:val="16"/>
                <w:szCs w:val="16"/>
              </w:rPr>
            </w:pPr>
            <w:r>
              <w:rPr>
                <w:rFonts w:cs="Arial" w:ascii="Arial" w:hAnsi="Arial"/>
                <w:b/>
                <w:bCs/>
                <w:sz w:val="16"/>
                <w:szCs w:val="16"/>
              </w:rPr>
            </w:r>
          </w:p>
          <w:p>
            <w:pPr>
              <w:pStyle w:val="Normal"/>
              <w:tabs>
                <w:tab w:val="clear" w:pos="720"/>
                <w:tab w:val="left" w:pos="750" w:leader="none"/>
              </w:tabs>
              <w:ind w:end="136"/>
              <w:jc w:val="both"/>
              <w:rPr/>
            </w:pPr>
            <w:r>
              <w:rPr>
                <w:rFonts w:eastAsia="Arial" w:cs="Arial" w:ascii="Arial" w:hAnsi="Arial"/>
              </w:rPr>
              <w:t xml:space="preserve"> </w:t>
            </w:r>
            <w:r>
              <w:rPr>
                <w:rFonts w:cs="Arial" w:ascii="Arial" w:hAnsi="Arial"/>
              </w:rPr>
              <w:t xml:space="preserve">Total Deposit : </w:t>
            </w:r>
            <w:r>
              <w:rPr>
                <w:rFonts w:cs="Arial" w:ascii="Arial" w:hAnsi="Arial"/>
                <w:b/>
                <w:bCs/>
              </w:rPr>
              <w:t xml:space="preserve">RINGGIT MALAYSIA FIVE THOUSAND ONE  </w:t>
            </w:r>
          </w:p>
          <w:p>
            <w:pPr>
              <w:pStyle w:val="Normal"/>
              <w:tabs>
                <w:tab w:val="clear" w:pos="720"/>
                <w:tab w:val="left" w:pos="750" w:leader="none"/>
              </w:tabs>
              <w:ind w:end="136"/>
              <w:jc w:val="both"/>
              <w:rPr>
                <w:rFonts w:ascii="Arial" w:hAnsi="Arial" w:cs="Arial"/>
                <w:b/>
                <w:bCs/>
              </w:rPr>
            </w:pPr>
            <w:r>
              <w:rPr>
                <w:rFonts w:eastAsia="Arial" w:cs="Arial" w:ascii="Arial" w:hAnsi="Arial"/>
                <w:b/>
                <w:bCs/>
              </w:rPr>
              <w:t xml:space="preserve"> </w:t>
            </w:r>
            <w:r>
              <w:rPr>
                <w:rFonts w:cs="Arial" w:ascii="Arial" w:hAnsi="Arial"/>
                <w:b/>
                <w:bCs/>
              </w:rPr>
              <w:t>HUNDRED AND EIGHTY-FOUR (RM5,184.00)</w:t>
            </w:r>
          </w:p>
          <w:p>
            <w:pPr>
              <w:pStyle w:val="Normal"/>
              <w:tabs>
                <w:tab w:val="clear" w:pos="720"/>
                <w:tab w:val="left" w:pos="750" w:leader="none"/>
              </w:tabs>
              <w:ind w:end="136"/>
              <w:jc w:val="both"/>
              <w:rPr>
                <w:rFonts w:ascii="Arial" w:hAnsi="Arial" w:cs="Arial"/>
                <w:sz w:val="16"/>
                <w:szCs w:val="16"/>
              </w:rPr>
            </w:pPr>
            <w:r>
              <w:rPr>
                <w:rFonts w:eastAsia="Arial" w:cs="Arial" w:ascii="Arial" w:hAnsi="Arial"/>
                <w:b/>
                <w:bCs/>
              </w:rPr>
              <w:t xml:space="preserve">  </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snapToGrid w:val="false"/>
              <w:ind w:start="720" w:end="0"/>
              <w:jc w:val="center"/>
              <w:rPr>
                <w:rFonts w:ascii="Arial" w:hAnsi="Arial" w:cs="Arial"/>
                <w:sz w:val="16"/>
                <w:szCs w:val="16"/>
              </w:rPr>
            </w:pPr>
            <w:r>
              <w:rPr>
                <w:rFonts w:cs="Arial" w:ascii="Arial" w:hAnsi="Arial"/>
                <w:sz w:val="16"/>
                <w:szCs w:val="16"/>
              </w:rPr>
            </w:r>
          </w:p>
          <w:p>
            <w:pPr>
              <w:pStyle w:val="Normal"/>
              <w:numPr>
                <w:ilvl w:val="0"/>
                <w:numId w:val="13"/>
              </w:numPr>
              <w:jc w:val="center"/>
              <w:rPr>
                <w:rFonts w:ascii="Arial" w:hAnsi="Arial" w:cs="Arial"/>
                <w:sz w:val="16"/>
                <w:szCs w:val="16"/>
              </w:rPr>
            </w:pPr>
            <w:r>
              <w:rPr>
                <w:rFonts w:cs="Arial" w:ascii="Arial" w:hAnsi="Arial"/>
                <w:sz w:val="16"/>
                <w:szCs w:val="16"/>
              </w:rPr>
            </w:r>
          </w:p>
        </w:tc>
        <w:tc>
          <w:tcPr>
            <w:tcW w:w="7047" w:type="dxa"/>
            <w:tcBorders>
              <w:top w:val="single" w:sz="4" w:space="0" w:color="000000"/>
              <w:start w:val="single" w:sz="4" w:space="0" w:color="000000"/>
              <w:bottom w:val="single" w:sz="4" w:space="0" w:color="000000"/>
              <w:end w:val="single" w:sz="4" w:space="0" w:color="000000"/>
            </w:tcBorders>
          </w:tcPr>
          <w:p>
            <w:pPr>
              <w:pStyle w:val="Normal"/>
              <w:snapToGrid w:val="false"/>
              <w:ind w:start="183" w:end="0"/>
              <w:jc w:val="both"/>
              <w:rPr>
                <w:rFonts w:ascii="Arial" w:hAnsi="Arial" w:cs="Arial"/>
                <w:sz w:val="16"/>
                <w:szCs w:val="16"/>
              </w:rPr>
            </w:pPr>
            <w:r>
              <w:rPr>
                <w:rFonts w:cs="Arial" w:ascii="Arial" w:hAnsi="Arial"/>
                <w:sz w:val="16"/>
                <w:szCs w:val="16"/>
              </w:rPr>
            </w:r>
          </w:p>
          <w:p>
            <w:pPr>
              <w:pStyle w:val="Normal"/>
              <w:spacing w:lineRule="auto" w:line="360"/>
              <w:ind w:firstLine="120" w:end="419"/>
              <w:jc w:val="both"/>
              <w:rPr>
                <w:rFonts w:ascii="Arial" w:hAnsi="Arial" w:cs="Arial"/>
              </w:rPr>
            </w:pPr>
            <w:r>
              <w:rPr>
                <w:rFonts w:cs="Arial" w:ascii="Arial" w:hAnsi="Arial"/>
              </w:rPr>
              <w:t>Total Purchase Price : -</w:t>
            </w:r>
          </w:p>
          <w:p>
            <w:pPr>
              <w:pStyle w:val="Normal"/>
              <w:ind w:start="183" w:end="277"/>
              <w:jc w:val="both"/>
              <w:rPr>
                <w:rFonts w:ascii="Arial" w:hAnsi="Arial" w:cs="Arial"/>
              </w:rPr>
            </w:pPr>
            <w:r>
              <w:rPr>
                <w:rFonts w:cs="Arial" w:ascii="Arial" w:hAnsi="Arial"/>
              </w:rPr>
              <w:t xml:space="preserve">RINGGIT MALAYSIA : </w:t>
            </w:r>
            <w:r>
              <w:rPr>
                <w:rFonts w:cs="Arial" w:ascii="Arial" w:hAnsi="Arial"/>
                <w:b/>
                <w:bCs/>
              </w:rPr>
              <w:t>TWO HUNDRED AND FIFTY THOUSAND (RM250,000.00) ONLY</w:t>
            </w:r>
            <w:r>
              <w:rPr>
                <w:rFonts w:cs="Arial" w:ascii="Arial" w:hAnsi="Arial"/>
              </w:rPr>
              <w:t xml:space="preserve">   </w:t>
            </w:r>
          </w:p>
          <w:p>
            <w:pPr>
              <w:pStyle w:val="Normal"/>
              <w:ind w:start="183" w:end="136"/>
              <w:jc w:val="both"/>
              <w:rPr>
                <w:rFonts w:ascii="Arial" w:hAnsi="Arial" w:cs="Arial"/>
                <w:sz w:val="16"/>
                <w:szCs w:val="16"/>
              </w:rPr>
            </w:pPr>
            <w:r>
              <w:rPr>
                <w:rFonts w:cs="Arial" w:ascii="Arial" w:hAnsi="Arial"/>
                <w:sz w:val="16"/>
                <w:szCs w:val="16"/>
              </w:rPr>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6"/>
                <w:szCs w:val="16"/>
              </w:rPr>
            </w:pPr>
            <w:r>
              <w:rPr>
                <w:rFonts w:cs="Arial" w:ascii="Arial" w:hAnsi="Arial"/>
                <w:b/>
                <w:bCs/>
                <w:sz w:val="16"/>
                <w:szCs w:val="16"/>
              </w:rPr>
            </w:r>
          </w:p>
          <w:p>
            <w:pPr>
              <w:pStyle w:val="Normal"/>
              <w:numPr>
                <w:ilvl w:val="0"/>
                <w:numId w:val="13"/>
              </w:numPr>
              <w:jc w:val="center"/>
              <w:rPr>
                <w:rFonts w:ascii="Arial" w:hAnsi="Arial" w:cs="Arial"/>
                <w:b/>
                <w:bCs/>
                <w:sz w:val="16"/>
                <w:szCs w:val="16"/>
              </w:rPr>
            </w:pPr>
            <w:r>
              <w:rPr>
                <w:rFonts w:cs="Arial" w:ascii="Arial" w:hAnsi="Arial"/>
                <w:b/>
                <w:bCs/>
                <w:sz w:val="16"/>
                <w:szCs w:val="16"/>
              </w:rPr>
            </w:r>
          </w:p>
        </w:tc>
        <w:tc>
          <w:tcPr>
            <w:tcW w:w="7047" w:type="dxa"/>
            <w:tcBorders>
              <w:top w:val="single" w:sz="4" w:space="0" w:color="000000"/>
              <w:start w:val="single" w:sz="4" w:space="0" w:color="000000"/>
              <w:bottom w:val="single" w:sz="4" w:space="0" w:color="000000"/>
              <w:end w:val="single" w:sz="4" w:space="0" w:color="000000"/>
            </w:tcBorders>
          </w:tcPr>
          <w:p>
            <w:pPr>
              <w:pStyle w:val="Normal"/>
              <w:snapToGrid w:val="false"/>
              <w:ind w:start="183" w:end="0"/>
              <w:jc w:val="both"/>
              <w:rPr>
                <w:rFonts w:ascii="Arial" w:hAnsi="Arial" w:cs="Arial"/>
                <w:b/>
                <w:bCs/>
                <w:sz w:val="16"/>
                <w:szCs w:val="16"/>
              </w:rPr>
            </w:pPr>
            <w:r>
              <w:rPr>
                <w:rFonts w:cs="Arial" w:ascii="Arial" w:hAnsi="Arial"/>
                <w:b/>
                <w:bCs/>
                <w:sz w:val="16"/>
                <w:szCs w:val="16"/>
              </w:rPr>
            </w:r>
          </w:p>
          <w:p>
            <w:pPr>
              <w:pStyle w:val="Normal"/>
              <w:spacing w:lineRule="auto" w:line="360"/>
              <w:ind w:start="183" w:end="0"/>
              <w:jc w:val="both"/>
              <w:rPr>
                <w:rFonts w:ascii="Arial" w:hAnsi="Arial" w:cs="Arial"/>
              </w:rPr>
            </w:pPr>
            <w:r>
              <w:rPr>
                <w:rFonts w:cs="Arial" w:ascii="Arial" w:hAnsi="Arial"/>
              </w:rPr>
              <w:t>Mode of Payment of the balance Purchase Price : -</w:t>
            </w:r>
          </w:p>
          <w:p>
            <w:pPr>
              <w:pStyle w:val="Normal"/>
              <w:numPr>
                <w:ilvl w:val="0"/>
                <w:numId w:val="15"/>
              </w:numPr>
              <w:ind w:hanging="425" w:start="608" w:end="419"/>
              <w:jc w:val="both"/>
              <w:rPr>
                <w:rFonts w:ascii="Arial" w:hAnsi="Arial" w:cs="Arial"/>
              </w:rPr>
            </w:pPr>
            <w:r>
              <w:rPr>
                <w:rFonts w:cs="Arial" w:ascii="Arial" w:hAnsi="Arial"/>
              </w:rPr>
              <w:t xml:space="preserve">The balance Purchase Price in the sum of </w:t>
            </w:r>
            <w:r>
              <w:rPr>
                <w:rFonts w:cs="Arial" w:ascii="Arial" w:hAnsi="Arial"/>
                <w:b/>
                <w:bCs/>
              </w:rPr>
              <w:t xml:space="preserve">RINGGIT MALAYSIA TWO HUNDRED FORTY-FOUR THOUSAND EIGHT HUNDRED AND SIXTEEN (RM244,816.00) ONLY </w:t>
            </w:r>
            <w:r>
              <w:rPr>
                <w:rFonts w:cs="Arial" w:ascii="Arial" w:hAnsi="Arial"/>
              </w:rPr>
              <w:t xml:space="preserve">within </w:t>
            </w:r>
            <w:r>
              <w:rPr>
                <w:rFonts w:cs="Arial" w:ascii="Arial" w:hAnsi="Arial"/>
                <w:b/>
                <w:bCs/>
              </w:rPr>
              <w:t xml:space="preserve">One Hundred Twenty (120) Days </w:t>
            </w:r>
            <w:r>
              <w:rPr>
                <w:rFonts w:cs="Arial" w:ascii="Arial" w:hAnsi="Arial"/>
              </w:rPr>
              <w:t>from the date of receipt by the Purchaser’s Solicitors of the written consent of the “Pihak Berkuasa Negeri” referred to in Section 1 of the Third Schedule herein (hereinafter referred to as “</w:t>
            </w:r>
            <w:r>
              <w:rPr>
                <w:rFonts w:cs="Arial" w:ascii="Arial" w:hAnsi="Arial"/>
                <w:b/>
                <w:bCs/>
              </w:rPr>
              <w:t>the Completion Date</w:t>
            </w:r>
            <w:r>
              <w:rPr>
                <w:rFonts w:cs="Arial" w:ascii="Arial" w:hAnsi="Arial"/>
              </w:rPr>
              <w:t>”).</w:t>
            </w:r>
          </w:p>
          <w:p>
            <w:pPr>
              <w:pStyle w:val="Normal"/>
              <w:ind w:end="419"/>
              <w:jc w:val="both"/>
              <w:rPr>
                <w:rFonts w:ascii="Arial" w:hAnsi="Arial" w:cs="Arial"/>
                <w:sz w:val="16"/>
                <w:szCs w:val="16"/>
              </w:rPr>
            </w:pPr>
            <w:r>
              <w:rPr>
                <w:rFonts w:cs="Arial" w:ascii="Arial" w:hAnsi="Arial"/>
                <w:sz w:val="16"/>
                <w:szCs w:val="16"/>
              </w:rPr>
            </w:r>
          </w:p>
          <w:p>
            <w:pPr>
              <w:pStyle w:val="Normal"/>
              <w:numPr>
                <w:ilvl w:val="0"/>
                <w:numId w:val="15"/>
              </w:numPr>
              <w:ind w:hanging="425" w:start="608" w:end="419"/>
              <w:jc w:val="both"/>
              <w:rPr>
                <w:rFonts w:ascii="Arial" w:hAnsi="Arial" w:cs="Arial"/>
              </w:rPr>
            </w:pPr>
            <w:commentRangeStart w:id="37"/>
            <w:r>
              <w:rPr>
                <w:rFonts w:cs="Arial" w:ascii="Arial" w:hAnsi="Arial"/>
                <w:highlight w:val="yellow"/>
              </w:rPr>
              <w:t xml:space="preserve">If the Purchaser is unable to pay the balance Purchase Price referred to in Sub-clause (a), the Vendor shall automatically grant a further period of </w:t>
            </w:r>
            <w:r>
              <w:rPr>
                <w:rFonts w:cs="Arial" w:ascii="Arial" w:hAnsi="Arial"/>
                <w:b/>
                <w:highlight w:val="yellow"/>
              </w:rPr>
              <w:t>Thirty (30) days</w:t>
            </w:r>
            <w:r>
              <w:rPr>
                <w:rFonts w:cs="Arial" w:ascii="Arial" w:hAnsi="Arial"/>
                <w:highlight w:val="yellow"/>
              </w:rPr>
              <w:t xml:space="preserve"> from the date of expiry of the Completion Date (hereinafter referred to as “</w:t>
            </w:r>
            <w:r>
              <w:rPr>
                <w:rFonts w:cs="Arial" w:ascii="Arial" w:hAnsi="Arial"/>
                <w:b/>
                <w:bCs/>
                <w:highlight w:val="yellow"/>
              </w:rPr>
              <w:t>the Extended Completion Date</w:t>
            </w:r>
            <w:r>
              <w:rPr>
                <w:rFonts w:cs="Arial" w:ascii="Arial" w:hAnsi="Arial"/>
                <w:highlight w:val="yellow"/>
              </w:rPr>
              <w:t xml:space="preserve">”) to the Purchaser to enable him to complete the purchase. In such circumstances, the Purchaser shall pay to the Vendor interest on the unpaid balance Purchase Price at the rate of eight per centum (8%) per annum calculated on daily basis for this extended period. </w:t>
            </w:r>
            <w:commentRangeEnd w:id="37"/>
            <w:r>
              <w:rPr>
                <w:rStyle w:val="CommentReference"/>
              </w:rPr>
              <w:commentReference w:id="37"/>
            </w:r>
          </w:p>
          <w:p>
            <w:pPr>
              <w:pStyle w:val="Normal"/>
              <w:ind w:end="419"/>
              <w:jc w:val="both"/>
              <w:rPr>
                <w:rFonts w:ascii="Arial" w:hAnsi="Arial" w:cs="Arial"/>
              </w:rPr>
            </w:pPr>
            <w:r>
              <w:rPr>
                <w:rFonts w:cs="Arial" w:ascii="Arial" w:hAnsi="Arial"/>
              </w:rPr>
            </w:r>
          </w:p>
        </w:tc>
      </w:tr>
    </w:tbl>
    <w:p>
      <w:pPr>
        <w:pStyle w:val="Normal"/>
        <w:rPr>
          <w:rFonts w:ascii="Arial" w:hAnsi="Arial" w:cs="Arial"/>
          <w:b/>
          <w:bCs/>
        </w:rPr>
      </w:pPr>
      <w:r>
        <w:rPr>
          <w:rFonts w:cs="Arial" w:ascii="Arial" w:hAnsi="Arial"/>
          <w:b/>
          <w:bCs/>
        </w:rPr>
      </w:r>
    </w:p>
    <w:p>
      <w:pPr>
        <w:pStyle w:val="Normal"/>
        <w:jc w:val="center"/>
        <w:rPr>
          <w:rFonts w:ascii="Arial" w:hAnsi="Arial" w:cs="Arial"/>
          <w:b/>
          <w:bCs/>
        </w:rPr>
      </w:pPr>
      <w:r>
        <w:rPr>
          <w:rFonts w:cs="Arial" w:ascii="Arial" w:hAnsi="Arial"/>
          <w:b/>
          <w:bCs/>
        </w:rPr>
        <w:t>THIRD SCHEDULE</w:t>
      </w:r>
    </w:p>
    <w:p>
      <w:pPr>
        <w:pStyle w:val="Normal"/>
        <w:jc w:val="center"/>
        <w:rPr>
          <w:rFonts w:ascii="Arial" w:hAnsi="Arial" w:cs="Arial"/>
          <w:b/>
          <w:bCs/>
        </w:rPr>
      </w:pPr>
      <w:r>
        <w:rPr>
          <w:rFonts w:cs="Arial" w:ascii="Arial" w:hAnsi="Arial"/>
          <w:b/>
          <w:bCs/>
        </w:rPr>
      </w:r>
    </w:p>
    <w:p>
      <w:pPr>
        <w:pStyle w:val="Normal"/>
        <w:jc w:val="center"/>
        <w:rPr>
          <w:rFonts w:ascii="Arial" w:hAnsi="Arial" w:cs="Arial"/>
          <w:b/>
          <w:bCs/>
        </w:rPr>
      </w:pPr>
      <w:r>
        <w:rPr>
          <w:rFonts w:cs="Arial" w:ascii="Arial" w:hAnsi="Arial"/>
          <w:b/>
          <w:bCs/>
        </w:rPr>
        <w:t xml:space="preserve">Special Express Conditions to which this Agreement is subject : - </w:t>
      </w:r>
    </w:p>
    <w:p>
      <w:pPr>
        <w:pStyle w:val="Normal"/>
        <w:jc w:val="center"/>
        <w:rPr>
          <w:rFonts w:ascii="Arial" w:hAnsi="Arial" w:cs="Arial"/>
          <w:b/>
          <w:bCs/>
        </w:rPr>
      </w:pPr>
      <w:r>
        <w:rPr>
          <w:rFonts w:cs="Arial" w:ascii="Arial" w:hAnsi="Arial"/>
          <w:b/>
          <w:bCs/>
        </w:rPr>
      </w:r>
    </w:p>
    <w:p>
      <w:pPr>
        <w:pStyle w:val="Normal"/>
        <w:jc w:val="center"/>
        <w:rPr>
          <w:rFonts w:ascii="Arial" w:hAnsi="Arial" w:cs="Arial"/>
          <w:b/>
          <w:bCs/>
        </w:rPr>
      </w:pPr>
      <w:r>
        <w:rPr>
          <w:rFonts w:cs="Arial" w:ascii="Arial" w:hAnsi="Arial"/>
          <w:b/>
          <w:bCs/>
        </w:rPr>
      </w:r>
    </w:p>
    <w:p>
      <w:pPr>
        <w:pStyle w:val="Normal"/>
        <w:widowControl w:val="false"/>
        <w:numPr>
          <w:ilvl w:val="4"/>
          <w:numId w:val="2"/>
        </w:numPr>
        <w:tabs>
          <w:tab w:val="clear" w:pos="720"/>
        </w:tabs>
        <w:suppressAutoHyphens w:val="true"/>
        <w:spacing w:before="16" w:after="16"/>
        <w:ind w:hanging="1418" w:start="1418" w:end="0"/>
        <w:jc w:val="both"/>
        <w:rPr>
          <w:rFonts w:ascii="Arial" w:hAnsi="Arial" w:cs="Arial"/>
          <w:lang w:val="en-US"/>
        </w:rPr>
      </w:pPr>
      <w:bookmarkStart w:id="22" w:name="_Hlk230951870"/>
      <w:commentRangeStart w:id="2"/>
      <w:r>
        <w:rPr>
          <w:rFonts w:cs="Arial" w:ascii="Arial" w:hAnsi="Arial"/>
          <w:highlight w:val="red"/>
          <w:lang w:val="en-US"/>
        </w:rPr>
        <w:t>Section 1</w:t>
        <w:tab/>
        <w:t>The Purchaser acknowledges and agrees that the Vendor’s title to the Property has not been transferred and/or registered into the Vendor’s name as at the date of this Agreement and that the transaction herein shall be completed by way of a double transfer arrangement.</w:t>
      </w:r>
      <w:commentRangeEnd w:id="2"/>
      <w:r>
        <w:rPr>
          <w:rStyle w:val="CommentReference"/>
        </w:rPr>
        <w:commentReference w:id="2"/>
      </w:r>
    </w:p>
    <w:p>
      <w:pPr>
        <w:pStyle w:val="Normal"/>
        <w:widowControl w:val="false"/>
        <w:numPr>
          <w:ilvl w:val="0"/>
          <w:numId w:val="2"/>
        </w:numPr>
        <w:suppressAutoHyphens w:val="true"/>
        <w:spacing w:before="16" w:after="16"/>
        <w:jc w:val="both"/>
        <w:rPr>
          <w:rFonts w:ascii="Arial" w:hAnsi="Arial" w:cs="Arial"/>
          <w:lang w:val="en-US"/>
        </w:rPr>
      </w:pPr>
      <w:r>
        <w:rPr>
          <w:rFonts w:cs="Arial" w:ascii="Arial" w:hAnsi="Arial"/>
          <w:lang w:val="en-US"/>
        </w:rPr>
      </w:r>
    </w:p>
    <w:p>
      <w:pPr>
        <w:pStyle w:val="Normal"/>
        <w:widowControl w:val="false"/>
        <w:numPr>
          <w:ilvl w:val="0"/>
          <w:numId w:val="2"/>
        </w:numPr>
        <w:tabs>
          <w:tab w:val="clear" w:pos="720"/>
        </w:tabs>
        <w:suppressAutoHyphens w:val="true"/>
        <w:spacing w:before="16" w:after="16"/>
        <w:ind w:hanging="1418" w:start="1418" w:end="0"/>
        <w:jc w:val="both"/>
        <w:rPr>
          <w:rFonts w:ascii="Arial" w:hAnsi="Arial" w:cs="Arial"/>
          <w:lang w:val="en-US"/>
        </w:rPr>
      </w:pPr>
      <w:commentRangeStart w:id="3"/>
      <w:r>
        <w:rPr>
          <w:rFonts w:cs="Arial" w:ascii="Arial" w:hAnsi="Arial"/>
          <w:highlight w:val="red"/>
          <w:lang w:val="en-US"/>
        </w:rPr>
        <w:t>Section 2</w:t>
        <w:tab/>
        <w:t>The Purchaser further agrees and undertakes to cooperate and execute all relevant documents required for the purpose of effecting the transfer of the Property from the original proprietor/vendor to the Vendor and subsequently from the Vendor to the Purchaser.</w:t>
      </w:r>
      <w:commentRangeEnd w:id="3"/>
      <w:r>
        <w:rPr>
          <w:rStyle w:val="CommentReference"/>
        </w:rPr>
        <w:commentReference w:id="3"/>
      </w:r>
    </w:p>
    <w:p>
      <w:pPr>
        <w:pStyle w:val="Normal"/>
        <w:widowControl w:val="false"/>
        <w:numPr>
          <w:ilvl w:val="0"/>
          <w:numId w:val="2"/>
        </w:numPr>
        <w:suppressAutoHyphens w:val="true"/>
        <w:spacing w:before="16" w:after="16"/>
        <w:jc w:val="both"/>
        <w:rPr>
          <w:rFonts w:ascii="Arial" w:hAnsi="Arial" w:cs="Arial"/>
          <w:lang w:val="en-US"/>
        </w:rPr>
      </w:pPr>
      <w:r>
        <w:rPr>
          <w:rFonts w:cs="Arial" w:ascii="Arial" w:hAnsi="Arial"/>
          <w:lang w:val="en-US"/>
        </w:rPr>
      </w:r>
    </w:p>
    <w:p>
      <w:pPr>
        <w:pStyle w:val="Normal"/>
        <w:widowControl w:val="false"/>
        <w:numPr>
          <w:ilvl w:val="1"/>
          <w:numId w:val="2"/>
        </w:numPr>
        <w:tabs>
          <w:tab w:val="clear" w:pos="720"/>
        </w:tabs>
        <w:suppressAutoHyphens w:val="true"/>
        <w:spacing w:before="16" w:after="16"/>
        <w:ind w:hanging="1418" w:start="1418" w:end="0"/>
        <w:jc w:val="both"/>
        <w:rPr>
          <w:rFonts w:ascii="Arial" w:hAnsi="Arial" w:cs="Arial"/>
          <w:lang w:val="en-US"/>
        </w:rPr>
      </w:pPr>
      <w:commentRangeStart w:id="4"/>
      <w:r>
        <w:rPr>
          <w:rFonts w:cs="Arial" w:ascii="Arial" w:hAnsi="Arial"/>
          <w:highlight w:val="red"/>
          <w:lang w:val="en-US"/>
        </w:rPr>
        <w:t>Section 3</w:t>
        <w:tab/>
        <w:t>All costs, fees, charges and expenses arising from the first transfer shall be borne by the Vendor, whereas all costs, fees, charges and expenses relating to the transfer from the Vendor to the Purchaser shall be borne by the Purchaser, unless otherwise agreed by the Parties.</w:t>
      </w:r>
      <w:commentRangeEnd w:id="4"/>
      <w:r>
        <w:rPr>
          <w:rStyle w:val="CommentReference"/>
        </w:rPr>
        <w:commentReference w:id="4"/>
      </w:r>
    </w:p>
    <w:p>
      <w:pPr>
        <w:pStyle w:val="Normal"/>
        <w:widowControl w:val="false"/>
        <w:numPr>
          <w:ilvl w:val="0"/>
          <w:numId w:val="2"/>
        </w:numPr>
        <w:suppressAutoHyphens w:val="true"/>
        <w:spacing w:before="16" w:after="16"/>
        <w:jc w:val="both"/>
        <w:rPr>
          <w:rFonts w:ascii="Arial" w:hAnsi="Arial" w:cs="Arial"/>
          <w:lang w:val="en-US"/>
        </w:rPr>
      </w:pPr>
      <w:r>
        <w:rPr>
          <w:rFonts w:cs="Arial" w:ascii="Arial" w:hAnsi="Arial"/>
          <w:lang w:val="en-US"/>
        </w:rPr>
      </w:r>
    </w:p>
    <w:p>
      <w:pPr>
        <w:pStyle w:val="Normal"/>
        <w:widowControl w:val="false"/>
        <w:numPr>
          <w:ilvl w:val="1"/>
          <w:numId w:val="2"/>
        </w:numPr>
        <w:tabs>
          <w:tab w:val="clear" w:pos="720"/>
        </w:tabs>
        <w:suppressAutoHyphens w:val="true"/>
        <w:spacing w:before="16" w:after="16"/>
        <w:ind w:hanging="1418" w:start="1418" w:end="0"/>
        <w:jc w:val="both"/>
        <w:rPr>
          <w:rFonts w:ascii="Arial" w:hAnsi="Arial" w:cs="Arial"/>
          <w:lang w:val="en-US"/>
        </w:rPr>
      </w:pPr>
      <w:r>
        <w:rPr>
          <w:rFonts w:cs="Arial" w:ascii="Arial" w:hAnsi="Arial"/>
          <w:lang w:val="en-US"/>
        </w:rPr>
        <w:t>Section 4</w:t>
        <w:tab/>
        <w:t>In the event any authority, land office, developer, bank or relevant body requires additional documentation or procedures to facilitate the double transfer arrangement, both Parties shall give full cooperation to complete the transaction.</w:t>
      </w:r>
    </w:p>
    <w:p>
      <w:pPr>
        <w:pStyle w:val="Normal"/>
        <w:widowControl w:val="false"/>
        <w:numPr>
          <w:ilvl w:val="0"/>
          <w:numId w:val="2"/>
        </w:numPr>
        <w:suppressAutoHyphens w:val="true"/>
        <w:spacing w:before="16" w:after="16"/>
        <w:ind w:hanging="1440" w:start="1440" w:end="0"/>
        <w:jc w:val="both"/>
        <w:rPr>
          <w:rFonts w:ascii="Arial" w:hAnsi="Arial" w:cs="Arial"/>
          <w:lang w:val="en-US"/>
        </w:rPr>
      </w:pPr>
      <w:r>
        <w:rPr>
          <w:rFonts w:cs="Arial" w:ascii="Arial" w:hAnsi="Arial"/>
          <w:lang w:val="en-US"/>
        </w:rPr>
      </w:r>
    </w:p>
    <w:p>
      <w:pPr>
        <w:pStyle w:val="Normal"/>
        <w:widowControl w:val="false"/>
        <w:numPr>
          <w:ilvl w:val="0"/>
          <w:numId w:val="2"/>
        </w:numPr>
        <w:suppressAutoHyphens w:val="true"/>
        <w:spacing w:before="16" w:after="16"/>
        <w:ind w:hanging="1440" w:start="1440" w:end="0"/>
        <w:jc w:val="both"/>
        <w:rPr>
          <w:rFonts w:ascii="Arial" w:hAnsi="Arial" w:cs="Arial"/>
          <w:lang w:val="en-US"/>
        </w:rPr>
      </w:pPr>
      <w:r>
        <w:rPr>
          <w:rFonts w:cs="Arial" w:ascii="Arial" w:hAnsi="Arial"/>
          <w:lang w:val="en-US"/>
        </w:rPr>
        <w:t>Section 5</w:t>
        <w:tab/>
        <w:t>This Agreement is conditional</w:t>
      </w:r>
      <w:r>
        <w:rPr>
          <w:rFonts w:cs="Arial" w:ascii="Arial" w:hAnsi="Arial"/>
          <w:b/>
          <w:lang w:val="en-US"/>
        </w:rPr>
        <w:t xml:space="preserve"> </w:t>
      </w:r>
      <w:r>
        <w:rPr>
          <w:rFonts w:cs="Arial" w:ascii="Arial" w:hAnsi="Arial"/>
          <w:lang w:val="en-US"/>
        </w:rPr>
        <w:t xml:space="preserve">upon the approval of the </w:t>
      </w:r>
      <w:r>
        <w:rPr>
          <w:rFonts w:cs="Arial" w:ascii="Arial" w:hAnsi="Arial"/>
        </w:rPr>
        <w:t>“Pihak Berkuasa Negeri”</w:t>
      </w:r>
      <w:r>
        <w:rPr>
          <w:rFonts w:cs="Arial" w:ascii="Arial" w:hAnsi="Arial"/>
          <w:lang w:val="en-US"/>
        </w:rPr>
        <w:t xml:space="preserve"> for the transfer of the said </w:t>
      </w:r>
      <w:r>
        <w:rPr>
          <w:rFonts w:cs="Arial" w:ascii="Arial" w:hAnsi="Arial"/>
        </w:rPr>
        <w:t>P</w:t>
      </w:r>
      <w:r>
        <w:rPr>
          <w:rFonts w:cs="Arial" w:ascii="Arial" w:hAnsi="Arial"/>
          <w:lang w:val="en-US"/>
        </w:rPr>
        <w:t xml:space="preserve">roperty from the Vendor to the Purchaser on the terms and conditions contained in this Agreement being granted either without condition or subject to conditions acceptable to both the Vendor and the Purchaser within </w:t>
      </w:r>
      <w:r>
        <w:rPr>
          <w:rFonts w:cs="Arial" w:ascii="Arial" w:hAnsi="Arial"/>
        </w:rPr>
        <w:t>one hundred twenty (120) days</w:t>
      </w:r>
      <w:r>
        <w:rPr>
          <w:rFonts w:cs="Arial" w:ascii="Arial" w:hAnsi="Arial"/>
          <w:lang w:val="en-US"/>
        </w:rPr>
        <w:t xml:space="preserve"> from the date hereof</w:t>
      </w:r>
      <w:r>
        <w:rPr>
          <w:rFonts w:cs="Arial" w:ascii="Arial" w:hAnsi="Arial"/>
        </w:rPr>
        <w:t xml:space="preserve"> (hereinafter referred to as </w:t>
      </w:r>
      <w:r>
        <w:rPr>
          <w:rFonts w:cs="Arial" w:ascii="Arial" w:hAnsi="Arial"/>
          <w:b/>
          <w:bCs/>
        </w:rPr>
        <w:t>“the State Consent to Transfer”</w:t>
      </w:r>
      <w:r>
        <w:rPr>
          <w:rFonts w:cs="Arial" w:ascii="Arial" w:hAnsi="Arial"/>
        </w:rPr>
        <w:t>)</w:t>
      </w:r>
      <w:r>
        <w:rPr>
          <w:rFonts w:cs="Arial" w:ascii="Arial" w:hAnsi="Arial"/>
          <w:lang w:val="en-US"/>
        </w:rPr>
        <w:t>.</w:t>
      </w:r>
      <w:bookmarkEnd w:id="22"/>
      <w:r>
        <w:rPr>
          <w:rFonts w:cs="Arial" w:ascii="Arial" w:hAnsi="Arial"/>
          <w:lang w:val="en-US"/>
        </w:rPr>
        <w:t xml:space="preserve"> </w:t>
      </w:r>
    </w:p>
    <w:p>
      <w:pPr>
        <w:pStyle w:val="Normal"/>
        <w:widowControl w:val="false"/>
        <w:numPr>
          <w:ilvl w:val="0"/>
          <w:numId w:val="2"/>
        </w:numPr>
        <w:tabs>
          <w:tab w:val="clear" w:pos="720"/>
          <w:tab w:val="left" w:pos="1440" w:leader="none"/>
        </w:tabs>
        <w:suppressAutoHyphens w:val="true"/>
        <w:spacing w:before="16" w:after="16"/>
        <w:ind w:hanging="1440" w:start="1440" w:end="0"/>
        <w:jc w:val="both"/>
        <w:rPr>
          <w:rFonts w:ascii="Arial" w:hAnsi="Arial" w:cs="Arial"/>
          <w:b/>
          <w:bCs/>
          <w:u w:val="single"/>
        </w:rPr>
      </w:pPr>
      <w:r>
        <w:rPr>
          <w:rFonts w:cs="Arial" w:ascii="Arial" w:hAnsi="Arial"/>
          <w:b/>
          <w:bCs/>
          <w:u w:val="single"/>
          <w:lang w:val="en-US"/>
        </w:rPr>
      </w:r>
    </w:p>
    <w:p>
      <w:pPr>
        <w:pStyle w:val="Normal"/>
        <w:widowControl w:val="false"/>
        <w:numPr>
          <w:ilvl w:val="1"/>
          <w:numId w:val="2"/>
        </w:numPr>
        <w:suppressAutoHyphens w:val="true"/>
        <w:spacing w:before="16" w:after="16"/>
        <w:ind w:hanging="1440" w:start="1440" w:end="0"/>
        <w:jc w:val="both"/>
        <w:rPr>
          <w:rFonts w:ascii="Arial" w:hAnsi="Arial" w:cs="Arial"/>
          <w:lang w:val="en-US"/>
        </w:rPr>
      </w:pPr>
      <w:commentRangeStart w:id="16"/>
      <w:r>
        <w:rPr>
          <w:rFonts w:cs="Arial" w:ascii="Arial" w:hAnsi="Arial"/>
          <w:highlight w:val="cyan"/>
          <w:lang w:val="en-US"/>
        </w:rPr>
        <w:t>Section 6</w:t>
        <w:tab/>
        <w:t xml:space="preserve">If the </w:t>
      </w:r>
      <w:r>
        <w:rPr>
          <w:rFonts w:cs="Arial" w:ascii="Arial" w:hAnsi="Arial"/>
          <w:highlight w:val="cyan"/>
        </w:rPr>
        <w:t>“Pihak Berkuasa Negeri”</w:t>
      </w:r>
      <w:r>
        <w:rPr>
          <w:rFonts w:cs="Arial" w:ascii="Arial" w:hAnsi="Arial"/>
          <w:highlight w:val="cyan"/>
          <w:lang w:val="en-US"/>
        </w:rPr>
        <w:t xml:space="preserve"> shall refuse to grant the approval mentioned in Section 1 above, the Purchaser shall have the option either to rescind this Agreement and require the Vendor to refund the said </w:t>
      </w:r>
      <w:r>
        <w:rPr>
          <w:rFonts w:cs="Arial" w:ascii="Arial" w:hAnsi="Arial"/>
          <w:highlight w:val="cyan"/>
        </w:rPr>
        <w:t>D</w:t>
      </w:r>
      <w:r>
        <w:rPr>
          <w:rFonts w:cs="Arial" w:ascii="Arial" w:hAnsi="Arial"/>
          <w:highlight w:val="cyan"/>
          <w:lang w:val="en-US"/>
        </w:rPr>
        <w:t>eposit and such other monies paid by the Purchaser to the Vendor under this Agreement without any interest or compensation</w:t>
      </w:r>
      <w:r>
        <w:rPr>
          <w:rFonts w:cs="Arial" w:ascii="Arial" w:hAnsi="Arial"/>
          <w:highlight w:val="cyan"/>
        </w:rPr>
        <w:t>,</w:t>
      </w:r>
      <w:r>
        <w:rPr>
          <w:rFonts w:cs="Arial" w:ascii="Arial" w:hAnsi="Arial"/>
          <w:highlight w:val="cyan"/>
          <w:lang w:val="en-US"/>
        </w:rPr>
        <w:t xml:space="preserve"> or to grant the Vendor such further extension of time as the Purchaser shall in his absolute discretion deem fit.</w:t>
      </w:r>
      <w:commentRangeEnd w:id="16"/>
      <w:r>
        <w:rPr>
          <w:rStyle w:val="CommentReference"/>
        </w:rPr>
        <w:commentReference w:id="16"/>
      </w:r>
    </w:p>
    <w:p>
      <w:pPr>
        <w:pStyle w:val="Normal"/>
        <w:widowControl w:val="false"/>
        <w:numPr>
          <w:ilvl w:val="0"/>
          <w:numId w:val="2"/>
        </w:numPr>
        <w:tabs>
          <w:tab w:val="clear" w:pos="720"/>
          <w:tab w:val="left" w:pos="1440" w:leader="none"/>
        </w:tabs>
        <w:suppressAutoHyphens w:val="true"/>
        <w:spacing w:before="16" w:after="16"/>
        <w:ind w:hanging="1440" w:start="1440" w:end="0"/>
        <w:jc w:val="both"/>
        <w:rPr>
          <w:rFonts w:ascii="Arial" w:hAnsi="Arial" w:cs="Arial"/>
        </w:rPr>
      </w:pPr>
      <w:r>
        <w:rPr>
          <w:rFonts w:cs="Arial" w:ascii="Arial" w:hAnsi="Arial"/>
          <w:lang w:val="en-US"/>
        </w:rPr>
      </w:r>
    </w:p>
    <w:p>
      <w:pPr>
        <w:pStyle w:val="Normal"/>
        <w:widowControl w:val="false"/>
        <w:numPr>
          <w:ilvl w:val="0"/>
          <w:numId w:val="2"/>
        </w:numPr>
        <w:suppressAutoHyphens w:val="true"/>
        <w:spacing w:before="16" w:after="16"/>
        <w:ind w:hanging="1440" w:start="1440" w:end="0"/>
        <w:jc w:val="both"/>
        <w:rPr>
          <w:rFonts w:ascii="Arial" w:hAnsi="Arial" w:cs="Arial"/>
          <w:lang w:val="en-US"/>
        </w:rPr>
      </w:pPr>
      <w:commentRangeStart w:id="15"/>
      <w:r>
        <w:rPr>
          <w:rFonts w:cs="Arial" w:ascii="Arial" w:hAnsi="Arial"/>
          <w:highlight w:val="yellow"/>
          <w:lang w:val="en-US"/>
        </w:rPr>
        <w:t>Section 7</w:t>
        <w:tab/>
        <w:t xml:space="preserve">The Vendor shall upon the execution of this Agreement forthwith and in any case within one </w:t>
      </w:r>
      <w:r>
        <w:rPr>
          <w:rFonts w:cs="Arial" w:ascii="Arial" w:hAnsi="Arial"/>
          <w:highlight w:val="yellow"/>
        </w:rPr>
        <w:t xml:space="preserve">(1) </w:t>
      </w:r>
      <w:r>
        <w:rPr>
          <w:rFonts w:cs="Arial" w:ascii="Arial" w:hAnsi="Arial"/>
          <w:highlight w:val="yellow"/>
          <w:lang w:val="en-US"/>
        </w:rPr>
        <w:t xml:space="preserve">month from the date hereof at his own costs and expenses apply or cause to be applied to the </w:t>
      </w:r>
      <w:r>
        <w:rPr>
          <w:rFonts w:cs="Arial" w:ascii="Arial" w:hAnsi="Arial"/>
          <w:highlight w:val="yellow"/>
        </w:rPr>
        <w:t>“Pihak Berkuasa Negeri”</w:t>
      </w:r>
      <w:r>
        <w:rPr>
          <w:rFonts w:cs="Arial" w:ascii="Arial" w:hAnsi="Arial"/>
          <w:highlight w:val="yellow"/>
          <w:lang w:val="en-US"/>
        </w:rPr>
        <w:t xml:space="preserve"> and use his best endeavour to obtain the </w:t>
      </w:r>
      <w:r>
        <w:rPr>
          <w:rFonts w:cs="Arial" w:ascii="Arial" w:hAnsi="Arial"/>
          <w:highlight w:val="yellow"/>
        </w:rPr>
        <w:t xml:space="preserve">written </w:t>
      </w:r>
      <w:r>
        <w:rPr>
          <w:rFonts w:cs="Arial" w:ascii="Arial" w:hAnsi="Arial"/>
          <w:highlight w:val="yellow"/>
          <w:lang w:val="en-US"/>
        </w:rPr>
        <w:t>consent/approval</w:t>
      </w:r>
      <w:r>
        <w:rPr>
          <w:rFonts w:cs="Arial" w:ascii="Arial" w:hAnsi="Arial"/>
          <w:highlight w:val="yellow"/>
        </w:rPr>
        <w:t>”</w:t>
      </w:r>
      <w:r>
        <w:rPr>
          <w:rFonts w:cs="Arial" w:ascii="Arial" w:hAnsi="Arial"/>
          <w:highlight w:val="yellow"/>
          <w:lang w:val="en-US"/>
        </w:rPr>
        <w:t xml:space="preserve"> for the transfer of the said </w:t>
      </w:r>
      <w:r>
        <w:rPr>
          <w:rFonts w:cs="Arial" w:ascii="Arial" w:hAnsi="Arial"/>
          <w:highlight w:val="yellow"/>
        </w:rPr>
        <w:t>P</w:t>
      </w:r>
      <w:r>
        <w:rPr>
          <w:rFonts w:cs="Arial" w:ascii="Arial" w:hAnsi="Arial"/>
          <w:highlight w:val="yellow"/>
          <w:lang w:val="en-US"/>
        </w:rPr>
        <w:t xml:space="preserve">roperty to the Purchaser. </w:t>
      </w:r>
      <w:commentRangeEnd w:id="15"/>
      <w:r>
        <w:rPr>
          <w:rStyle w:val="CommentReference"/>
        </w:rPr>
        <w:commentReference w:id="15"/>
      </w:r>
    </w:p>
    <w:p>
      <w:pPr>
        <w:pStyle w:val="Normal"/>
        <w:widowControl w:val="false"/>
        <w:numPr>
          <w:ilvl w:val="0"/>
          <w:numId w:val="2"/>
        </w:numPr>
        <w:suppressAutoHyphens w:val="true"/>
        <w:spacing w:before="16" w:after="16"/>
        <w:ind w:hanging="1440" w:start="1440" w:end="0"/>
        <w:jc w:val="both"/>
        <w:rPr>
          <w:rFonts w:ascii="Arial" w:hAnsi="Arial" w:cs="Arial"/>
        </w:rPr>
      </w:pPr>
      <w:r>
        <w:rPr>
          <w:rFonts w:cs="Arial" w:ascii="Arial" w:hAnsi="Arial"/>
          <w:lang w:val="en-US"/>
        </w:rPr>
      </w:r>
    </w:p>
    <w:p>
      <w:pPr>
        <w:pStyle w:val="Normal"/>
        <w:widowControl w:val="false"/>
        <w:suppressAutoHyphens w:val="true"/>
        <w:spacing w:before="16" w:after="16"/>
        <w:ind w:hanging="1440" w:start="1440" w:end="0"/>
        <w:jc w:val="both"/>
        <w:rPr/>
      </w:pPr>
      <w:r>
        <w:rPr>
          <w:rFonts w:cs="Arial" w:ascii="Arial" w:hAnsi="Arial"/>
        </w:rPr>
        <w:t>Section 8</w:t>
        <w:tab/>
        <w:t>In the event that the Purchaser is desirous to obtain a loan from the Financier, this Agreement is further conditional upon the approval of the “Pihak Berkuasa Negeri” for the charge of the said Property from the Purchaser to the Financier on the terms and conditions contained in this Agreement and/or the Financier’s Letter of Offer being granted either without condition or subject to conditions acceptable to both the Purchaser and the Financier within six (6) months from the date hereof (hereinafter referred to as “</w:t>
      </w:r>
      <w:r>
        <w:rPr>
          <w:rFonts w:cs="Arial" w:ascii="Arial" w:hAnsi="Arial"/>
          <w:b/>
        </w:rPr>
        <w:t>the State Consent to Charge</w:t>
      </w:r>
      <w:r>
        <w:rPr>
          <w:rFonts w:cs="Arial" w:ascii="Arial" w:hAnsi="Arial"/>
        </w:rPr>
        <w:t xml:space="preserve">”). </w:t>
      </w:r>
    </w:p>
    <w:p>
      <w:pPr>
        <w:pStyle w:val="Normal"/>
        <w:widowControl w:val="false"/>
        <w:suppressAutoHyphens w:val="true"/>
        <w:spacing w:before="16" w:after="16"/>
        <w:jc w:val="both"/>
        <w:rPr>
          <w:rFonts w:ascii="Arial" w:hAnsi="Arial" w:cs="Arial"/>
        </w:rPr>
      </w:pPr>
      <w:r>
        <w:rPr>
          <w:rFonts w:cs="Arial" w:ascii="Arial" w:hAnsi="Arial"/>
        </w:rPr>
      </w:r>
    </w:p>
    <w:p>
      <w:pPr>
        <w:pStyle w:val="Normal"/>
        <w:widowControl w:val="false"/>
        <w:suppressAutoHyphens w:val="true"/>
        <w:spacing w:before="16" w:after="16"/>
        <w:ind w:hanging="1440" w:start="1440" w:end="0"/>
        <w:jc w:val="both"/>
        <w:rPr>
          <w:rFonts w:ascii="Arial" w:hAnsi="Arial" w:cs="Arial"/>
          <w:lang w:val="en-US"/>
        </w:rPr>
      </w:pPr>
      <w:commentRangeStart w:id="17"/>
      <w:r>
        <w:rPr>
          <w:rFonts w:cs="Arial" w:ascii="Arial" w:hAnsi="Arial"/>
          <w:highlight w:val="yellow"/>
          <w:lang w:val="en-US"/>
        </w:rPr>
        <w:t>Section 9</w:t>
        <w:tab/>
        <w:t xml:space="preserve">If the </w:t>
      </w:r>
      <w:r>
        <w:rPr>
          <w:rFonts w:cs="Arial" w:ascii="Arial" w:hAnsi="Arial"/>
          <w:highlight w:val="yellow"/>
        </w:rPr>
        <w:t>“Pihak Berkuasa Negeri”</w:t>
      </w:r>
      <w:r>
        <w:rPr>
          <w:rFonts w:cs="Arial" w:ascii="Arial" w:hAnsi="Arial"/>
          <w:highlight w:val="yellow"/>
          <w:lang w:val="en-US"/>
        </w:rPr>
        <w:t xml:space="preserve"> shall refuse to grant the approval mentioned in Section </w:t>
      </w:r>
      <w:r>
        <w:rPr>
          <w:rFonts w:cs="Arial" w:ascii="Arial" w:hAnsi="Arial"/>
          <w:highlight w:val="yellow"/>
        </w:rPr>
        <w:t>4</w:t>
      </w:r>
      <w:r>
        <w:rPr>
          <w:rFonts w:cs="Arial" w:ascii="Arial" w:hAnsi="Arial"/>
          <w:highlight w:val="yellow"/>
          <w:lang w:val="en-US"/>
        </w:rPr>
        <w:t xml:space="preserve"> above, the Purchaser shall have the option either to rescind this Agreement and require the Vendor to refund the said </w:t>
      </w:r>
      <w:r>
        <w:rPr>
          <w:rFonts w:cs="Arial" w:ascii="Arial" w:hAnsi="Arial"/>
          <w:highlight w:val="yellow"/>
        </w:rPr>
        <w:t>D</w:t>
      </w:r>
      <w:r>
        <w:rPr>
          <w:rFonts w:cs="Arial" w:ascii="Arial" w:hAnsi="Arial"/>
          <w:highlight w:val="yellow"/>
          <w:lang w:val="en-US"/>
        </w:rPr>
        <w:t>eposit and such other monies paid by the Purchaser to the Vendor under this Agreement without any interest or compensation</w:t>
      </w:r>
      <w:r>
        <w:rPr>
          <w:rFonts w:cs="Arial" w:ascii="Arial" w:hAnsi="Arial"/>
          <w:highlight w:val="yellow"/>
        </w:rPr>
        <w:t>,</w:t>
      </w:r>
      <w:r>
        <w:rPr>
          <w:rFonts w:cs="Arial" w:ascii="Arial" w:hAnsi="Arial"/>
          <w:highlight w:val="yellow"/>
          <w:lang w:val="en-US"/>
        </w:rPr>
        <w:t xml:space="preserve"> or </w:t>
      </w:r>
      <w:r>
        <w:rPr>
          <w:rFonts w:cs="Arial" w:ascii="Arial" w:hAnsi="Arial"/>
          <w:highlight w:val="yellow"/>
        </w:rPr>
        <w:t xml:space="preserve">to request </w:t>
      </w:r>
      <w:r>
        <w:rPr>
          <w:rFonts w:cs="Arial" w:ascii="Arial" w:hAnsi="Arial"/>
          <w:highlight w:val="yellow"/>
          <w:lang w:val="en-US"/>
        </w:rPr>
        <w:t xml:space="preserve">the Vendor </w:t>
      </w:r>
      <w:r>
        <w:rPr>
          <w:rFonts w:cs="Arial" w:ascii="Arial" w:hAnsi="Arial"/>
          <w:highlight w:val="yellow"/>
        </w:rPr>
        <w:t xml:space="preserve">to grant </w:t>
      </w:r>
      <w:r>
        <w:rPr>
          <w:rFonts w:cs="Arial" w:ascii="Arial" w:hAnsi="Arial"/>
          <w:highlight w:val="yellow"/>
          <w:lang w:val="en-US"/>
        </w:rPr>
        <w:t xml:space="preserve">such further extension of time as the </w:t>
      </w:r>
      <w:r>
        <w:rPr>
          <w:rFonts w:cs="Arial" w:ascii="Arial" w:hAnsi="Arial"/>
          <w:highlight w:val="yellow"/>
        </w:rPr>
        <w:t xml:space="preserve">Vendor </w:t>
      </w:r>
      <w:r>
        <w:rPr>
          <w:rFonts w:cs="Arial" w:ascii="Arial" w:hAnsi="Arial"/>
          <w:highlight w:val="yellow"/>
          <w:lang w:val="en-US"/>
        </w:rPr>
        <w:t>shall in his absolute discretion deem fit.</w:t>
      </w:r>
      <w:commentRangeEnd w:id="17"/>
      <w:r>
        <w:rPr>
          <w:rStyle w:val="CommentReference"/>
        </w:rPr>
        <w:commentReference w:id="17"/>
      </w:r>
      <w:r>
        <w:rPr>
          <w:rFonts w:cs="Arial" w:ascii="Arial" w:hAnsi="Arial"/>
        </w:rPr>
        <w:t xml:space="preserve"> </w:t>
      </w:r>
    </w:p>
    <w:p>
      <w:pPr>
        <w:pStyle w:val="Normal"/>
        <w:widowControl w:val="false"/>
        <w:numPr>
          <w:ilvl w:val="2"/>
          <w:numId w:val="2"/>
        </w:numPr>
        <w:suppressAutoHyphens w:val="true"/>
        <w:spacing w:before="16" w:after="16"/>
        <w:jc w:val="both"/>
        <w:rPr>
          <w:rFonts w:ascii="Arial" w:hAnsi="Arial" w:cs="Arial"/>
          <w:lang w:val="en-US"/>
        </w:rPr>
      </w:pPr>
      <w:r>
        <w:rPr>
          <w:rFonts w:cs="Arial" w:ascii="Arial" w:hAnsi="Arial"/>
          <w:lang w:val="en-US"/>
        </w:rPr>
      </w:r>
    </w:p>
    <w:p>
      <w:pPr>
        <w:pStyle w:val="Normal"/>
        <w:ind w:hanging="1440" w:start="1440" w:end="0"/>
        <w:jc w:val="both"/>
        <w:rPr>
          <w:rFonts w:ascii="Arial" w:hAnsi="Arial" w:cs="Arial"/>
          <w:lang w:val="en-US"/>
        </w:rPr>
      </w:pPr>
      <w:commentRangeStart w:id="18"/>
      <w:r>
        <w:rPr>
          <w:rFonts w:cs="Arial" w:ascii="Arial" w:hAnsi="Arial"/>
          <w:highlight w:val="red"/>
          <w:lang w:val="en-US"/>
        </w:rPr>
        <w:t>Section 10</w:t>
        <w:tab/>
        <w:t xml:space="preserve">The </w:t>
      </w:r>
      <w:r>
        <w:rPr>
          <w:rFonts w:cs="Arial" w:ascii="Arial" w:hAnsi="Arial"/>
          <w:highlight w:val="red"/>
        </w:rPr>
        <w:t xml:space="preserve">Purchaser </w:t>
      </w:r>
      <w:r>
        <w:rPr>
          <w:rFonts w:cs="Arial" w:ascii="Arial" w:hAnsi="Arial"/>
          <w:highlight w:val="red"/>
          <w:lang w:val="en-US"/>
        </w:rPr>
        <w:t xml:space="preserve">shall upon the execution of this Agreement forthwith and in any case within one </w:t>
      </w:r>
      <w:r>
        <w:rPr>
          <w:rFonts w:cs="Arial" w:ascii="Arial" w:hAnsi="Arial"/>
          <w:highlight w:val="red"/>
        </w:rPr>
        <w:t xml:space="preserve">(1) </w:t>
      </w:r>
      <w:r>
        <w:rPr>
          <w:rFonts w:cs="Arial" w:ascii="Arial" w:hAnsi="Arial"/>
          <w:highlight w:val="red"/>
          <w:lang w:val="en-US"/>
        </w:rPr>
        <w:t xml:space="preserve">month from the date hereof at his own costs and expenses apply or cause to be applied to the </w:t>
      </w:r>
      <w:r>
        <w:rPr>
          <w:rFonts w:cs="Arial" w:ascii="Arial" w:hAnsi="Arial"/>
          <w:highlight w:val="red"/>
        </w:rPr>
        <w:t>“Pihak Berkuasa Negeri”</w:t>
      </w:r>
      <w:r>
        <w:rPr>
          <w:rFonts w:cs="Arial" w:ascii="Arial" w:hAnsi="Arial"/>
          <w:highlight w:val="red"/>
          <w:lang w:val="en-US"/>
        </w:rPr>
        <w:t xml:space="preserve"> and use their best endeavour to obtain the </w:t>
      </w:r>
      <w:r>
        <w:rPr>
          <w:rFonts w:cs="Arial" w:ascii="Arial" w:hAnsi="Arial"/>
          <w:highlight w:val="red"/>
        </w:rPr>
        <w:t xml:space="preserve">written </w:t>
      </w:r>
      <w:r>
        <w:rPr>
          <w:rFonts w:cs="Arial" w:ascii="Arial" w:hAnsi="Arial"/>
          <w:highlight w:val="red"/>
          <w:lang w:val="en-US"/>
        </w:rPr>
        <w:t xml:space="preserve">consent/approval for the </w:t>
      </w:r>
      <w:r>
        <w:rPr>
          <w:rFonts w:cs="Arial" w:ascii="Arial" w:hAnsi="Arial"/>
          <w:highlight w:val="red"/>
        </w:rPr>
        <w:t xml:space="preserve">charge </w:t>
      </w:r>
      <w:r>
        <w:rPr>
          <w:rFonts w:cs="Arial" w:ascii="Arial" w:hAnsi="Arial"/>
          <w:highlight w:val="red"/>
          <w:lang w:val="en-US"/>
        </w:rPr>
        <w:t xml:space="preserve">of the said </w:t>
      </w:r>
      <w:r>
        <w:rPr>
          <w:rFonts w:cs="Arial" w:ascii="Arial" w:hAnsi="Arial"/>
          <w:highlight w:val="red"/>
        </w:rPr>
        <w:t>P</w:t>
      </w:r>
      <w:r>
        <w:rPr>
          <w:rFonts w:cs="Arial" w:ascii="Arial" w:hAnsi="Arial"/>
          <w:highlight w:val="red"/>
          <w:lang w:val="en-US"/>
        </w:rPr>
        <w:t xml:space="preserve">roperty to the </w:t>
      </w:r>
      <w:r>
        <w:rPr>
          <w:rFonts w:cs="Arial" w:ascii="Arial" w:hAnsi="Arial"/>
          <w:highlight w:val="red"/>
        </w:rPr>
        <w:t>Financier</w:t>
      </w:r>
      <w:r>
        <w:rPr>
          <w:rFonts w:cs="Arial" w:ascii="Arial" w:hAnsi="Arial"/>
          <w:highlight w:val="red"/>
          <w:lang w:val="en-US"/>
        </w:rPr>
        <w:t>.</w:t>
      </w:r>
      <w:commentRangeEnd w:id="18"/>
      <w:r>
        <w:rPr>
          <w:rStyle w:val="CommentReference"/>
        </w:rPr>
        <w:commentReference w:id="18"/>
      </w:r>
    </w:p>
    <w:p>
      <w:pPr>
        <w:pStyle w:val="Normal"/>
        <w:ind w:hanging="1440" w:start="1440" w:end="0"/>
        <w:jc w:val="both"/>
        <w:rPr>
          <w:rFonts w:ascii="Arial" w:hAnsi="Arial" w:cs="Arial"/>
          <w:lang w:val="en-US"/>
        </w:rPr>
      </w:pPr>
      <w:r>
        <w:rPr>
          <w:rFonts w:cs="Arial" w:ascii="Arial" w:hAnsi="Arial"/>
          <w:lang w:val="en-US"/>
        </w:rPr>
      </w:r>
    </w:p>
    <w:p>
      <w:pPr>
        <w:pStyle w:val="Normal"/>
        <w:widowControl w:val="false"/>
        <w:suppressAutoHyphens w:val="true"/>
        <w:spacing w:before="16" w:after="16"/>
        <w:ind w:hanging="1440" w:start="1440" w:end="0"/>
        <w:jc w:val="both"/>
        <w:rPr>
          <w:rFonts w:ascii="Arial" w:hAnsi="Arial" w:cs="Arial"/>
        </w:rPr>
      </w:pPr>
      <w:r>
        <w:rPr>
          <w:rFonts w:cs="Arial" w:ascii="Arial" w:hAnsi="Arial"/>
        </w:rPr>
        <w:t xml:space="preserve">Section 11 </w:t>
        <w:tab/>
        <w:t>The Vendor warrants and undertakes herein that, the said Property is presently not charged to any financial institution/bank for a loan.</w:t>
      </w:r>
    </w:p>
    <w:p>
      <w:pPr>
        <w:pStyle w:val="Normal"/>
        <w:widowControl w:val="false"/>
        <w:suppressAutoHyphens w:val="true"/>
        <w:spacing w:before="16" w:after="16"/>
        <w:ind w:hanging="1440" w:start="1440" w:end="0"/>
        <w:jc w:val="both"/>
        <w:rPr>
          <w:rFonts w:ascii="Arial" w:hAnsi="Arial" w:cs="Arial"/>
        </w:rPr>
      </w:pPr>
      <w:r>
        <w:rPr>
          <w:rFonts w:cs="Arial" w:ascii="Arial" w:hAnsi="Arial"/>
        </w:rPr>
      </w:r>
    </w:p>
    <w:p>
      <w:pPr>
        <w:pStyle w:val="Normal"/>
        <w:ind w:hanging="1440" w:start="1440" w:end="0"/>
        <w:jc w:val="both"/>
        <w:rPr>
          <w:rFonts w:ascii="Arial" w:hAnsi="Arial" w:cs="Arial"/>
        </w:rPr>
      </w:pPr>
      <w:r>
        <w:rPr>
          <w:rFonts w:cs="Arial" w:ascii="Arial" w:hAnsi="Arial"/>
        </w:rPr>
      </w:r>
    </w:p>
    <w:p>
      <w:pPr>
        <w:pStyle w:val="Normal"/>
        <w:widowControl w:val="false"/>
        <w:suppressAutoHyphens w:val="true"/>
        <w:spacing w:before="16" w:after="16"/>
        <w:ind w:hanging="1440" w:start="1440" w:end="0"/>
        <w:jc w:val="both"/>
        <w:rPr>
          <w:rFonts w:ascii="Arial" w:hAnsi="Arial" w:cs="Arial"/>
          <w:lang w:val="en-MY"/>
        </w:rPr>
      </w:pPr>
      <w:r>
        <w:rPr>
          <w:rFonts w:cs="Arial" w:ascii="Arial" w:hAnsi="Arial"/>
          <w:lang w:val="en-MY"/>
        </w:rPr>
      </w:r>
    </w:p>
    <w:p>
      <w:pPr>
        <w:pStyle w:val="Normal"/>
        <w:widowControl w:val="false"/>
        <w:suppressAutoHyphens w:val="true"/>
        <w:spacing w:before="16" w:after="16"/>
        <w:ind w:hanging="1440" w:start="1440" w:end="0"/>
        <w:jc w:val="both"/>
        <w:rPr>
          <w:rFonts w:ascii="Arial" w:hAnsi="Arial" w:cs="Arial"/>
          <w:lang w:val="en-MY"/>
        </w:rPr>
      </w:pPr>
      <w:r>
        <w:rPr>
          <w:rFonts w:cs="Arial" w:ascii="Arial" w:hAnsi="Arial"/>
          <w:lang w:val="en-MY"/>
        </w:rPr>
      </w:r>
    </w:p>
    <w:sectPr>
      <w:footerReference w:type="default" r:id="rId4"/>
      <w:footerReference w:type="first" r:id="rId5"/>
      <w:type w:val="nextPage"/>
      <w:pgSz w:w="12240" w:h="15840"/>
      <w:pgMar w:left="1797" w:right="1183" w:gutter="0" w:header="0" w:top="1135" w:footer="720" w:bottom="1440"/>
      <w:pgNumType w:start="0" w:fmt="decimal"/>
      <w:formProt w:val="false"/>
      <w:titlePg/>
      <w:textDirection w:val="lrTb"/>
      <w:docGrid w:type="default"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urchaser review" w:initials="PR" w:date="2026-10-07T08:54:46Z">
    <w:p>
      <w:pPr>
        <w:pStyle w:val="CommentText"/>
      </w:pPr>
      <w:r>
        <w:rPr>
          <w:rStyle w:val="CommentReference"/>
        </w:rPr>
        <w:annotationRef/>
      </w:r>
      <w:r>
        <w:t>HIGH - Cl 6: ANY breach (even minor) allows immediate termination and forfeiture of the Earnest Deposit; no notice or cure period; Vendor may resell without offering to Purchaser. Forfeiture beyond reasonable compensation may be challenged (s75 Contracts Act).</w:t>
      </w:r>
    </w:p>
  </w:comment>
  <w:comment w:id="1" w:author="Purchaser review" w:initials="PR" w:date="2026-10-07T08:54:46Z">
    <w:p>
      <w:pPr>
        <w:pStyle w:val="CommentText"/>
      </w:pPr>
      <w:r>
        <w:rPr>
          <w:rStyle w:val="CommentReference"/>
        </w:rPr>
        <w:annotationRef/>
      </w:r>
      <w:r>
        <w:t>MEDIUM - Cl 1: 'as is where is' + purchaser takes subject to all title conditions/restrictions.</w:t>
      </w:r>
    </w:p>
  </w:comment>
  <w:comment w:id="2" w:author="Purchaser review" w:initials="PR" w:date="2026-10-07T08:54:46Z">
    <w:p>
      <w:pPr>
        <w:pStyle w:val="CommentText"/>
      </w:pPr>
      <w:r>
        <w:rPr>
          <w:rStyle w:val="CommentReference"/>
        </w:rPr>
        <w:annotationRef/>
      </w:r>
      <w:r>
        <w:t>HIGH - Third Sch s1: states double transfer, contradicting Cl 5.1(a) direct transfer and Cl 18(a) 'Vendor is registered owner'. Cl 15 makes Third Schedule prevail, so the warranty/direct-transfer option may be undercut.</w:t>
      </w:r>
    </w:p>
  </w:comment>
  <w:comment w:id="3" w:author="Purchaser review" w:initials="PR" w:date="2026-10-07T08:54:46Z">
    <w:p>
      <w:pPr>
        <w:pStyle w:val="CommentText"/>
      </w:pPr>
      <w:r>
        <w:rPr>
          <w:rStyle w:val="CommentReference"/>
        </w:rPr>
        <w:annotationRef/>
      </w:r>
      <w:r>
        <w:t>HIGH - Third Sch s2: open-ended Purchaser obligation to sign documents for the Vendor's own first transfer.</w:t>
      </w:r>
    </w:p>
  </w:comment>
  <w:comment w:id="4" w:author="Purchaser review" w:initials="PR" w:date="2026-10-07T08:54:46Z">
    <w:p>
      <w:pPr>
        <w:pStyle w:val="CommentText"/>
      </w:pPr>
      <w:r>
        <w:rPr>
          <w:rStyle w:val="CommentReference"/>
        </w:rPr>
        <w:annotationRef/>
      </w:r>
      <w:r>
        <w:t>HIGH - Third Sch s3: Purchaser bears all second-transfer costs; together with Cl 17 (stamp duty, excess duty, penalties).</w:t>
      </w:r>
    </w:p>
  </w:comment>
  <w:comment w:id="5" w:author="Purchaser review" w:initials="PR" w:date="2026-10-07T08:54:46Z">
    <w:p>
      <w:pPr>
        <w:pStyle w:val="CommentText"/>
      </w:pPr>
      <w:r>
        <w:rPr>
          <w:rStyle w:val="CommentReference"/>
        </w:rPr>
        <w:annotationRef/>
      </w:r>
      <w:r>
        <w:t>HIGH - Cl 5.3: EITHER party may terminate (Vendor can walk away if price rises); refund interest-free; 14-day refund period runs only from PURCHASER's notice - unclear if Vendor terminates.</w:t>
      </w:r>
    </w:p>
  </w:comment>
  <w:comment w:id="6" w:author="Purchaser review" w:initials="PR" w:date="2026-10-07T08:54:46Z">
    <w:p>
      <w:pPr>
        <w:pStyle w:val="CommentText"/>
      </w:pPr>
      <w:r>
        <w:rPr>
          <w:rStyle w:val="CommentReference"/>
        </w:rPr>
        <w:annotationRef/>
      </w:r>
      <w:r>
        <w:t>HIGH - Cl 5.1(b): fresh 120 days after developer refusal; no overall long-stop date; Vendor's solicitors only 'notify for safekeeping'.</w:t>
      </w:r>
    </w:p>
  </w:comment>
  <w:comment w:id="7" w:author="Purchaser review" w:initials="PR" w:date="2026-10-07T08:54:46Z">
    <w:p>
      <w:pPr>
        <w:pStyle w:val="CommentText"/>
      </w:pPr>
      <w:r>
        <w:rPr>
          <w:rStyle w:val="CommentReference"/>
        </w:rPr>
        <w:annotationRef/>
      </w:r>
      <w:r>
        <w:t>HIGH - Cl 20: open-ended suspension of ALL obligations incl. 'governmental actions'; overlaps Cl 27; Purchaser's money tied up interest-free.</w:t>
      </w:r>
    </w:p>
  </w:comment>
  <w:comment w:id="8" w:author="Purchaser review" w:initials="PR" w:date="2026-10-07T08:54:46Z">
    <w:p>
      <w:pPr>
        <w:pStyle w:val="CommentText"/>
      </w:pPr>
      <w:r>
        <w:rPr>
          <w:rStyle w:val="CommentReference"/>
        </w:rPr>
        <w:annotationRef/>
      </w:r>
      <w:r>
        <w:t>HIGH - Cl 27: broad force majeure (incl. governmental rules/restrictions); Vendor can rely on it for developer/State delay; termination only after 6 months.</w:t>
      </w:r>
    </w:p>
  </w:comment>
  <w:comment w:id="9" w:author="Purchaser review" w:initials="PR" w:date="2026-10-07T08:54:46Z">
    <w:p>
      <w:pPr>
        <w:pStyle w:val="CommentText"/>
      </w:pPr>
      <w:r>
        <w:rPr>
          <w:rStyle w:val="CommentReference"/>
        </w:rPr>
        <w:annotationRef/>
      </w:r>
      <w:r>
        <w:t>HIGH - Cl 7: Purchaser must choose specific performance OR terminate; refund interest-free; liquidated damages = Deposit (only RM5,184, ~2% of price) - weak compensation.</w:t>
      </w:r>
    </w:p>
  </w:comment>
  <w:comment w:id="10" w:author="Purchaser review" w:initials="PR" w:date="2026-10-07T08:54:46Z">
    <w:p>
      <w:pPr>
        <w:pStyle w:val="CommentText"/>
      </w:pPr>
      <w:r>
        <w:rPr>
          <w:rStyle w:val="CommentReference"/>
        </w:rPr>
        <w:annotationRef/>
      </w:r>
      <w:r>
        <w:t>MEDIUM - Cl 8: 'fourteen (10) working days' is ambiguous; refund interest-free; either party may terminate.</w:t>
      </w:r>
    </w:p>
  </w:comment>
  <w:comment w:id="11" w:author="Purchaser review" w:initials="PR" w:date="2026-10-07T08:54:46Z">
    <w:p>
      <w:pPr>
        <w:pStyle w:val="CommentText"/>
      </w:pPr>
      <w:r>
        <w:rPr>
          <w:rStyle w:val="CommentReference"/>
        </w:rPr>
        <w:annotationRef/>
      </w:r>
      <w:r>
        <w:t>HIGH - Cl 23: Purchaser waives all claims/price reduction for condition of property.</w:t>
      </w:r>
    </w:p>
  </w:comment>
  <w:comment w:id="12" w:author="Purchaser review" w:initials="PR" w:date="2026-10-07T08:54:46Z">
    <w:p>
      <w:pPr>
        <w:pStyle w:val="CommentText"/>
      </w:pPr>
      <w:r>
        <w:rPr>
          <w:rStyle w:val="CommentReference"/>
        </w:rPr>
        <w:annotationRef/>
      </w:r>
      <w:r>
        <w:t>HIGH - Cl 28: no price adjustment for area/boundary discrepancy; schedule gives no built-up area of main parcel.</w:t>
      </w:r>
    </w:p>
  </w:comment>
  <w:comment w:id="13" w:author="Purchaser review" w:initials="PR" w:date="2026-10-07T08:54:46Z">
    <w:p>
      <w:pPr>
        <w:pStyle w:val="CommentText"/>
      </w:pPr>
      <w:r>
        <w:rPr>
          <w:rStyle w:val="CommentReference"/>
        </w:rPr>
        <w:annotationRef/>
      </w:r>
      <w:r>
        <w:t>MEDIUM - Recital 6: Purchaser deemed to have inspected and be satisfied (supports 'as is' waiver).</w:t>
      </w:r>
    </w:p>
  </w:comment>
  <w:comment w:id="14" w:author="Purchaser review" w:initials="PR" w:date="2026-10-07T08:54:46Z">
    <w:p>
      <w:pPr>
        <w:pStyle w:val="CommentText"/>
      </w:pPr>
      <w:r>
        <w:rPr>
          <w:rStyle w:val="CommentReference"/>
        </w:rPr>
        <w:annotationRef/>
      </w:r>
      <w:r>
        <w:t>CHECK - description inconsistent: Recital 1 says Level 19 Block D / car park 4-12 (Level 4); Recital 2 and Sch IV say Tingkat 20 and accessory parcel A1131 (56 sq ft).</w:t>
      </w:r>
    </w:p>
  </w:comment>
  <w:comment w:id="15" w:author="Purchaser review" w:initials="PR" w:date="2026-10-07T08:54:46Z">
    <w:p>
      <w:pPr>
        <w:pStyle w:val="CommentText"/>
      </w:pPr>
      <w:r>
        <w:rPr>
          <w:rStyle w:val="CommentReference"/>
        </w:rPr>
        <w:annotationRef/>
      </w:r>
      <w:r>
        <w:t>MEDIUM - Third Sch s7: Vendor only needs 'best endeavour' (Purchaser's equivalent in s10 is absolute).</w:t>
      </w:r>
    </w:p>
  </w:comment>
  <w:comment w:id="16" w:author="Purchaser review" w:initials="PR" w:date="2026-10-07T08:54:46Z">
    <w:p>
      <w:pPr>
        <w:pStyle w:val="CommentText"/>
      </w:pPr>
      <w:r>
        <w:rPr>
          <w:rStyle w:val="CommentReference"/>
        </w:rPr>
        <w:annotationRef/>
      </w:r>
      <w:r>
        <w:t>DRAFTING - wrong cross-reference: should be Section 5. Note extension is at Purchaser's discretion here but Vendor's 'absolute discretion' in s9 (asymmetric).</w:t>
      </w:r>
    </w:p>
  </w:comment>
  <w:comment w:id="17" w:author="Purchaser review" w:initials="PR" w:date="2026-10-07T08:54:46Z">
    <w:p>
      <w:pPr>
        <w:pStyle w:val="CommentText"/>
      </w:pPr>
      <w:r>
        <w:rPr>
          <w:rStyle w:val="CommentReference"/>
        </w:rPr>
        <w:annotationRef/>
      </w:r>
      <w:r>
        <w:t>MEDIUM/DRAFTING - wrong cross-reference: should be Section 8. Extension at Vendor's absolute discretion; refund without interest or compensation.</w:t>
      </w:r>
    </w:p>
  </w:comment>
  <w:comment w:id="18" w:author="Purchaser review" w:initials="PR" w:date="2026-10-07T08:54:46Z">
    <w:p>
      <w:pPr>
        <w:pStyle w:val="CommentText"/>
      </w:pPr>
      <w:r>
        <w:rPr>
          <w:rStyle w:val="CommentReference"/>
        </w:rPr>
        <w:annotationRef/>
      </w:r>
      <w:r>
        <w:t>HIGH - Third Sch s10: Purchaser must apply for charge consent within 1 month - premature before loan approval; failure could be called a breach under Cl 6.</w:t>
      </w:r>
    </w:p>
  </w:comment>
  <w:comment w:id="19" w:author="Purchaser review" w:initials="PR" w:date="2026-10-07T08:54:46Z">
    <w:p>
      <w:pPr>
        <w:pStyle w:val="CommentText"/>
      </w:pPr>
      <w:r>
        <w:rPr>
          <w:rStyle w:val="CommentReference"/>
        </w:rPr>
        <w:annotationRef/>
      </w:r>
      <w:r>
        <w:t>MEDIUM - Cl 3.4: balance released on PRESENTATION, not registration - risk if transfer later rejected.</w:t>
      </w:r>
    </w:p>
  </w:comment>
  <w:comment w:id="20" w:author="Purchaser review" w:initials="PR" w:date="2026-10-07T08:54:46Z">
    <w:p>
      <w:pPr>
        <w:pStyle w:val="CommentText"/>
      </w:pPr>
      <w:r>
        <w:rPr>
          <w:rStyle w:val="CommentReference"/>
        </w:rPr>
        <w:annotationRef/>
      </w:r>
      <w:r>
        <w:t>MEDIUM - Cl 3.2(a): margin of financing due within 14 days of consent, before loan release.</w:t>
      </w:r>
    </w:p>
  </w:comment>
  <w:comment w:id="21" w:author="Purchaser review" w:initials="PR" w:date="2026-10-07T08:54:46Z">
    <w:p>
      <w:pPr>
        <w:pStyle w:val="CommentText"/>
      </w:pPr>
      <w:r>
        <w:rPr>
          <w:rStyle w:val="CommentReference"/>
        </w:rPr>
        <w:annotationRef/>
      </w:r>
      <w:r>
        <w:t>MEDIUM - Cl 2.3(b): Letter of Offer required on signing, before loan approval; also 'from the Vendor' is a drafting error.</w:t>
      </w:r>
    </w:p>
  </w:comment>
  <w:comment w:id="22" w:author="Purchaser review" w:initials="PR" w:date="2026-10-07T08:54:46Z">
    <w:p>
      <w:pPr>
        <w:pStyle w:val="CommentText"/>
      </w:pPr>
      <w:r>
        <w:rPr>
          <w:rStyle w:val="CommentReference"/>
        </w:rPr>
        <w:annotationRef/>
      </w:r>
      <w:r>
        <w:t>DRAFTING - Cl 2.3(a): Purchaser to provide Vendor's IC? Likely should be Purchaser's.</w:t>
      </w:r>
    </w:p>
  </w:comment>
  <w:comment w:id="23" w:author="Purchaser review" w:initials="PR" w:date="2026-10-07T08:54:46Z">
    <w:p>
      <w:pPr>
        <w:pStyle w:val="CommentText"/>
      </w:pPr>
      <w:r>
        <w:rPr>
          <w:rStyle w:val="CommentReference"/>
        </w:rPr>
        <w:annotationRef/>
      </w:r>
      <w:r>
        <w:t>DRAFTING - Cl 3.1 cross-reference to Clause 11 (outgoings) appears wrong.</w:t>
      </w:r>
    </w:p>
  </w:comment>
  <w:comment w:id="24" w:author="Purchaser review" w:initials="PR" w:date="2026-10-07T08:54:46Z">
    <w:p>
      <w:pPr>
        <w:pStyle w:val="CommentText"/>
      </w:pPr>
      <w:r>
        <w:rPr>
          <w:rStyle w:val="CommentReference"/>
        </w:rPr>
        <w:annotationRef/>
      </w:r>
      <w:r>
        <w:t>MEDIUM - Cl 5.4: Purchaser must pay developer's security deposit/advance service charges within 14 days.</w:t>
      </w:r>
    </w:p>
  </w:comment>
  <w:comment w:id="25" w:author="Purchaser review" w:initials="PR" w:date="2026-10-07T08:54:46Z">
    <w:p>
      <w:pPr>
        <w:pStyle w:val="CommentText"/>
      </w:pPr>
      <w:r>
        <w:rPr>
          <w:rStyle w:val="CommentReference"/>
        </w:rPr>
        <w:annotationRef/>
      </w:r>
      <w:r>
        <w:t>DRAFTING - Cl 5.1(a) garbled ('execute the valid and registrable Purchaser's in favour of...').</w:t>
      </w:r>
    </w:p>
  </w:comment>
  <w:comment w:id="26" w:author="Purchaser review" w:initials="PR" w:date="2026-10-07T08:54:46Z">
    <w:p>
      <w:pPr>
        <w:pStyle w:val="CommentText"/>
      </w:pPr>
      <w:r>
        <w:rPr>
          <w:rStyle w:val="CommentReference"/>
        </w:rPr>
        <w:annotationRef/>
      </w:r>
      <w:r>
        <w:t>HIGH - Cl 17: Purchaser bears all costs, stamp duty, plus any additional/excess duty and PENALTY; wording may extend to Vendor-side SPA costs.</w:t>
      </w:r>
    </w:p>
  </w:comment>
  <w:comment w:id="27" w:author="Purchaser review" w:initials="PR" w:date="2026-10-07T08:54:46Z">
    <w:p>
      <w:pPr>
        <w:pStyle w:val="CommentText"/>
      </w:pPr>
      <w:r>
        <w:rPr>
          <w:rStyle w:val="CommentReference"/>
        </w:rPr>
        <w:annotationRef/>
      </w:r>
      <w:r>
        <w:t>MEDIUM - Cl 30: Purchaser pays 'all penalties howsoever arising' (could include penalties from Vendor's arrears); no retention to secure Vendor's arrears.</w:t>
      </w:r>
    </w:p>
  </w:comment>
  <w:comment w:id="28" w:author="Purchaser review" w:initials="PR" w:date="2026-10-07T08:54:46Z">
    <w:p>
      <w:pPr>
        <w:pStyle w:val="CommentText"/>
      </w:pPr>
      <w:r>
        <w:rPr>
          <w:rStyle w:val="CommentReference"/>
        </w:rPr>
        <w:annotationRef/>
      </w:r>
      <w:r>
        <w:t>MEDIUM - Cl 11: Vendor's solicitors 'entitled but not obliged' to retain monies for outgoings; no express service charge/sinking fund arrears covenant.</w:t>
      </w:r>
    </w:p>
  </w:comment>
  <w:comment w:id="29" w:author="Purchaser review" w:initials="PR" w:date="2026-10-07T08:54:46Z">
    <w:p>
      <w:pPr>
        <w:pStyle w:val="CommentText"/>
      </w:pPr>
      <w:r>
        <w:rPr>
          <w:rStyle w:val="CommentReference"/>
        </w:rPr>
        <w:annotationRef/>
      </w:r>
      <w:r>
        <w:t>MEDIUM - Cl 12.2: no RPGT retention; Purchaser relies on unsecured Vendor indemnity (Cl 12.3).</w:t>
      </w:r>
    </w:p>
  </w:comment>
  <w:comment w:id="30" w:author="Purchaser review" w:initials="PR" w:date="2026-10-07T08:54:46Z">
    <w:p>
      <w:pPr>
        <w:pStyle w:val="CommentText"/>
      </w:pPr>
      <w:r>
        <w:rPr>
          <w:rStyle w:val="CommentReference"/>
        </w:rPr>
        <w:annotationRef/>
      </w:r>
      <w:r>
        <w:t>MEDIUM - Cl 14.1: Purchaser's termination right lapses after 10 working days; notice deemed served even if not delivered (Cl 21).</w:t>
      </w:r>
    </w:p>
  </w:comment>
  <w:comment w:id="31" w:author="Purchaser review" w:initials="PR" w:date="2026-10-07T08:54:46Z">
    <w:p>
      <w:pPr>
        <w:pStyle w:val="CommentText"/>
      </w:pPr>
      <w:r>
        <w:rPr>
          <w:rStyle w:val="CommentReference"/>
        </w:rPr>
        <w:annotationRef/>
      </w:r>
      <w:r>
        <w:t>HIGH - Cl 18(a): untrue per Third Sch s1 (title still in Proprietor/developer); Third Sch prevails under Cl 15.</w:t>
      </w:r>
    </w:p>
  </w:comment>
  <w:comment w:id="32" w:author="Purchaser review" w:initials="PR" w:date="2026-10-07T08:54:46Z">
    <w:p>
      <w:pPr>
        <w:pStyle w:val="CommentText"/>
      </w:pPr>
      <w:r>
        <w:rPr>
          <w:rStyle w:val="CommentReference"/>
        </w:rPr>
        <w:annotationRef/>
      </w:r>
      <w:r>
        <w:t>MEDIUM - Cl 29(d): both Purchasers jointly and severally liable for everything.</w:t>
      </w:r>
    </w:p>
  </w:comment>
  <w:comment w:id="33" w:author="Purchaser review" w:initials="PR" w:date="2026-10-07T08:54:46Z">
    <w:p>
      <w:pPr>
        <w:pStyle w:val="CommentText"/>
      </w:pPr>
      <w:r>
        <w:rPr>
          <w:rStyle w:val="CommentReference"/>
        </w:rPr>
        <w:annotationRef/>
      </w:r>
      <w:r>
        <w:t>DRAFTING - Cl 29(e): 'days' vs 'working days' used inconsistently across the agreement.</w:t>
      </w:r>
    </w:p>
  </w:comment>
  <w:comment w:id="34" w:author="Purchaser review" w:initials="PR" w:date="2026-10-07T08:54:46Z">
    <w:p>
      <w:pPr>
        <w:pStyle w:val="CommentText"/>
      </w:pPr>
      <w:r>
        <w:rPr>
          <w:rStyle w:val="CommentReference"/>
        </w:rPr>
        <w:annotationRef/>
      </w:r>
      <w:r>
        <w:t>MEDIUM - Cl 21: deemed served whether or not delivered; no email service - risks missed deadlines (Cl 14.1, time of essence).</w:t>
      </w:r>
    </w:p>
  </w:comment>
  <w:comment w:id="35" w:author="Purchaser review" w:initials="PR" w:date="2026-10-07T08:54:46Z">
    <w:p>
      <w:pPr>
        <w:pStyle w:val="CommentText"/>
      </w:pPr>
      <w:r>
        <w:rPr>
          <w:rStyle w:val="CommentReference"/>
        </w:rPr>
        <w:annotationRef/>
      </w:r>
      <w:r>
        <w:t>MEDIUM - Cl 16.1: strict time on Purchaser; Extended Completion only 30 days, with 8% interest, no relief for bank delay.</w:t>
      </w:r>
    </w:p>
  </w:comment>
  <w:comment w:id="36" w:author="Purchaser review" w:initials="PR" w:date="2026-10-07T08:54:47Z">
    <w:p>
      <w:pPr>
        <w:pStyle w:val="CommentText"/>
      </w:pPr>
      <w:r>
        <w:rPr>
          <w:rStyle w:val="CommentReference"/>
        </w:rPr>
        <w:annotationRef/>
      </w:r>
      <w:r>
        <w:t>MEDIUM - Second Sch I: Deposit held by agent IQI Realty, not solicitors as stakeholder; no protection of refund if agent pays out.</w:t>
      </w:r>
    </w:p>
  </w:comment>
  <w:comment w:id="37" w:author="Purchaser review" w:initials="PR" w:date="2026-10-07T08:54:47Z">
    <w:p>
      <w:pPr>
        <w:pStyle w:val="CommentText"/>
      </w:pPr>
      <w:r>
        <w:rPr>
          <w:rStyle w:val="CommentReference"/>
        </w:rPr>
        <w:annotationRef/>
      </w:r>
      <w:r>
        <w:t>MEDIUM - Second Sch III(b): only 30 days extension at 8%, then Cl 6 forfeiture.</w:t>
      </w:r>
    </w:p>
  </w:comment>
  <w:comment w:id="38" w:author="Purchaser review" w:initials="PR" w:date="2026-10-07T08:54:47Z">
    <w:p>
      <w:pPr>
        <w:pStyle w:val="CommentText"/>
      </w:pPr>
      <w:r>
        <w:rPr>
          <w:rStyle w:val="CommentReference"/>
        </w:rPr>
        <w:annotationRef/>
      </w:r>
      <w:r>
        <w:t>LEGEND: RED = high risk to Purchaser; YELLOW = medium risk; TURQUOISE = drafting error / inconsistency to fix.</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w:altName w:val="Courier New"/>
    <w:charset w:val="00" w:characterSet="windows-1252"/>
    <w:family w:val="moder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Candar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 </w:t>
    </w:r>
    <w:r>
      <w:rPr/>
      <w:fldChar w:fldCharType="begin"/>
    </w:r>
    <w:r>
      <w:rPr/>
      <w:instrText xml:space="preserve"> PAGE </w:instrText>
    </w:r>
    <w:r>
      <w:rPr/>
      <w:fldChar w:fldCharType="separate"/>
    </w:r>
    <w:r>
      <w:rPr/>
      <w:t>23</w:t>
    </w:r>
    <w:r>
      <w:rPr/>
      <w:fldChar w:fldCharType="end"/>
    </w:r>
    <w:r>
      <w:rPr/>
      <w:t xml:space="preserve"> </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upperRoman"/>
      <w:lvlText w:val="%1."/>
      <w:lvlJc w:val="start"/>
      <w:pPr>
        <w:tabs>
          <w:tab w:val="num" w:pos="1080"/>
        </w:tabs>
        <w:ind w:start="1080" w:hanging="720"/>
      </w:pPr>
      <w:rPr>
        <w:b w:val="false"/>
      </w:rPr>
    </w:lvl>
    <w:lvl w:ilvl="1">
      <w:start w:val="1"/>
      <w:numFmt w:val="decimal"/>
      <w:lvlText w:val="%2."/>
      <w:lvlJc w:val="start"/>
      <w:pPr>
        <w:tabs>
          <w:tab w:val="num" w:pos="4330"/>
        </w:tabs>
        <w:ind w:start="4330" w:hanging="360"/>
      </w:pPr>
      <w:rPr>
        <w:b w:val="false"/>
        <w:bCs w:val="false"/>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lowerLetter"/>
      <w:lvlText w:val="(%1)"/>
      <w:lvlJc w:val="start"/>
      <w:pPr>
        <w:tabs>
          <w:tab w:val="num" w:pos="0"/>
        </w:tabs>
        <w:ind w:start="1440" w:hanging="720"/>
      </w:pPr>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5">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
      <w:numFmt w:val="lowerLetter"/>
      <w:lvlText w:val="(%1)"/>
      <w:lvlJc w:val="start"/>
      <w:pPr>
        <w:tabs>
          <w:tab w:val="num" w:pos="0"/>
        </w:tabs>
        <w:ind w:start="1174" w:hanging="360"/>
      </w:pPr>
      <w:rPr/>
    </w:lvl>
    <w:lvl w:ilvl="1">
      <w:start w:val="1"/>
      <w:numFmt w:val="lowerLetter"/>
      <w:lvlText w:val="%2."/>
      <w:lvlJc w:val="start"/>
      <w:pPr>
        <w:tabs>
          <w:tab w:val="num" w:pos="0"/>
        </w:tabs>
        <w:ind w:start="1894" w:hanging="360"/>
      </w:pPr>
    </w:lvl>
    <w:lvl w:ilvl="2">
      <w:start w:val="1"/>
      <w:numFmt w:val="lowerRoman"/>
      <w:lvlText w:val="%3."/>
      <w:lvlJc w:val="end"/>
      <w:pPr>
        <w:tabs>
          <w:tab w:val="num" w:pos="0"/>
        </w:tabs>
        <w:ind w:start="2614" w:hanging="180"/>
      </w:pPr>
    </w:lvl>
    <w:lvl w:ilvl="3">
      <w:start w:val="1"/>
      <w:numFmt w:val="decimal"/>
      <w:lvlText w:val="%4."/>
      <w:lvlJc w:val="start"/>
      <w:pPr>
        <w:tabs>
          <w:tab w:val="num" w:pos="0"/>
        </w:tabs>
        <w:ind w:start="3334" w:hanging="360"/>
      </w:pPr>
    </w:lvl>
    <w:lvl w:ilvl="4">
      <w:start w:val="1"/>
      <w:numFmt w:val="lowerLetter"/>
      <w:lvlText w:val="%5."/>
      <w:lvlJc w:val="start"/>
      <w:pPr>
        <w:tabs>
          <w:tab w:val="num" w:pos="0"/>
        </w:tabs>
        <w:ind w:start="4054" w:hanging="360"/>
      </w:pPr>
    </w:lvl>
    <w:lvl w:ilvl="5">
      <w:start w:val="1"/>
      <w:numFmt w:val="lowerRoman"/>
      <w:lvlText w:val="%6."/>
      <w:lvlJc w:val="end"/>
      <w:pPr>
        <w:tabs>
          <w:tab w:val="num" w:pos="0"/>
        </w:tabs>
        <w:ind w:start="4774" w:hanging="180"/>
      </w:pPr>
    </w:lvl>
    <w:lvl w:ilvl="6">
      <w:start w:val="1"/>
      <w:numFmt w:val="decimal"/>
      <w:lvlText w:val="%7."/>
      <w:lvlJc w:val="start"/>
      <w:pPr>
        <w:tabs>
          <w:tab w:val="num" w:pos="0"/>
        </w:tabs>
        <w:ind w:start="5494" w:hanging="360"/>
      </w:pPr>
    </w:lvl>
    <w:lvl w:ilvl="7">
      <w:start w:val="1"/>
      <w:numFmt w:val="lowerLetter"/>
      <w:lvlText w:val="%8."/>
      <w:lvlJc w:val="start"/>
      <w:pPr>
        <w:tabs>
          <w:tab w:val="num" w:pos="0"/>
        </w:tabs>
        <w:ind w:start="6214" w:hanging="360"/>
      </w:pPr>
    </w:lvl>
    <w:lvl w:ilvl="8">
      <w:start w:val="1"/>
      <w:numFmt w:val="lowerRoman"/>
      <w:lvlText w:val="%9."/>
      <w:lvlJc w:val="end"/>
      <w:pPr>
        <w:tabs>
          <w:tab w:val="num" w:pos="0"/>
        </w:tabs>
        <w:ind w:start="6934" w:hanging="180"/>
      </w:pPr>
    </w:lvl>
  </w:abstractNum>
  <w:abstractNum w:abstractNumId="7">
    <w:lvl w:ilvl="0">
      <w:start w:val="3"/>
      <w:numFmt w:val="bullet"/>
      <w:lvlText w:val="-"/>
      <w:lvlJc w:val="start"/>
      <w:pPr>
        <w:tabs>
          <w:tab w:val="num" w:pos="0"/>
        </w:tabs>
        <w:ind w:start="1290" w:hanging="360"/>
      </w:pPr>
      <w:rPr>
        <w:rFonts w:ascii="Arial" w:hAnsi="Arial" w:cs="Arial" w:hint="default"/>
      </w:rPr>
    </w:lvl>
  </w:abstractNum>
  <w:abstractNum w:abstractNumId="8">
    <w:lvl w:ilvl="0">
      <w:start w:val="9"/>
      <w:numFmt w:val="decimal"/>
      <w:lvlText w:val="%1."/>
      <w:lvlJc w:val="start"/>
      <w:pPr>
        <w:tabs>
          <w:tab w:val="num" w:pos="0"/>
        </w:tabs>
        <w:ind w:start="0" w:hanging="0"/>
      </w:pPr>
      <w:rPr/>
    </w:lvl>
  </w:abstractNum>
  <w:abstractNum w:abstractNumId="9">
    <w:lvl w:ilvl="0">
      <w:start w:val="1"/>
      <w:numFmt w:val="upperRoman"/>
      <w:lvlText w:val="%1."/>
      <w:lvlJc w:val="start"/>
      <w:pPr>
        <w:tabs>
          <w:tab w:val="num" w:pos="1080"/>
        </w:tabs>
        <w:ind w:start="1080" w:hanging="720"/>
      </w:pPr>
      <w:rPr>
        <w:b w:val="false"/>
      </w:rPr>
    </w:lvl>
    <w:lvl w:ilvl="1">
      <w:start w:val="7"/>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30"/>
      <w:numFmt w:val="decimal"/>
      <w:lvlText w:val="%1."/>
      <w:lvlJc w:val="start"/>
      <w:pPr>
        <w:tabs>
          <w:tab w:val="num" w:pos="720"/>
        </w:tabs>
        <w:ind w:start="720" w:hanging="360"/>
      </w:pPr>
      <w:rPr>
        <w:b/>
        <w:bCs/>
      </w:rPr>
    </w:lvl>
    <w:lvl w:ilvl="1">
      <w:start w:val="1"/>
      <w:isLgl/>
      <w:numFmt w:val="decimal"/>
      <w:lvlText w:val="%1.%2"/>
      <w:lvlJc w:val="start"/>
      <w:pPr>
        <w:tabs>
          <w:tab w:val="num" w:pos="0"/>
        </w:tabs>
        <w:ind w:start="1137" w:hanging="570"/>
      </w:pPr>
      <w:rPr/>
    </w:lvl>
    <w:lvl w:ilvl="2">
      <w:start w:val="1"/>
      <w:isLgl/>
      <w:numFmt w:val="decimal"/>
      <w:lvlText w:val="%1.%2.%3"/>
      <w:lvlJc w:val="start"/>
      <w:pPr>
        <w:tabs>
          <w:tab w:val="num" w:pos="0"/>
        </w:tabs>
        <w:ind w:start="1494" w:hanging="720"/>
      </w:pPr>
      <w:rPr/>
    </w:lvl>
    <w:lvl w:ilvl="3">
      <w:start w:val="1"/>
      <w:isLgl/>
      <w:numFmt w:val="decimal"/>
      <w:lvlText w:val="%1.%2.%3.%4"/>
      <w:lvlJc w:val="start"/>
      <w:pPr>
        <w:tabs>
          <w:tab w:val="num" w:pos="0"/>
        </w:tabs>
        <w:ind w:start="1701" w:hanging="720"/>
      </w:pPr>
      <w:rPr/>
    </w:lvl>
    <w:lvl w:ilvl="4">
      <w:start w:val="1"/>
      <w:isLgl/>
      <w:numFmt w:val="decimal"/>
      <w:lvlText w:val="%1.%2.%3.%4.%5"/>
      <w:lvlJc w:val="start"/>
      <w:pPr>
        <w:tabs>
          <w:tab w:val="num" w:pos="0"/>
        </w:tabs>
        <w:ind w:start="2268" w:hanging="1080"/>
      </w:pPr>
      <w:rPr/>
    </w:lvl>
    <w:lvl w:ilvl="5">
      <w:start w:val="1"/>
      <w:isLgl/>
      <w:numFmt w:val="decimal"/>
      <w:lvlText w:val="%1.%2.%3.%4.%5.%6"/>
      <w:lvlJc w:val="start"/>
      <w:pPr>
        <w:tabs>
          <w:tab w:val="num" w:pos="0"/>
        </w:tabs>
        <w:ind w:start="2475" w:hanging="1080"/>
      </w:pPr>
      <w:rPr/>
    </w:lvl>
    <w:lvl w:ilvl="6">
      <w:start w:val="1"/>
      <w:isLgl/>
      <w:numFmt w:val="decimal"/>
      <w:lvlText w:val="%1.%2.%3.%4.%5.%6.%7"/>
      <w:lvlJc w:val="start"/>
      <w:pPr>
        <w:tabs>
          <w:tab w:val="num" w:pos="0"/>
        </w:tabs>
        <w:ind w:start="3042" w:hanging="1440"/>
      </w:pPr>
      <w:rPr/>
    </w:lvl>
    <w:lvl w:ilvl="7">
      <w:start w:val="1"/>
      <w:isLgl/>
      <w:numFmt w:val="decimal"/>
      <w:lvlText w:val="%1.%2.%3.%4.%5.%6.%7.%8"/>
      <w:lvlJc w:val="start"/>
      <w:pPr>
        <w:tabs>
          <w:tab w:val="num" w:pos="0"/>
        </w:tabs>
        <w:ind w:start="3249" w:hanging="1440"/>
      </w:pPr>
      <w:rPr/>
    </w:lvl>
    <w:lvl w:ilvl="8">
      <w:start w:val="1"/>
      <w:isLgl/>
      <w:numFmt w:val="decimal"/>
      <w:lvlText w:val="%1.%2.%3.%4.%5.%6.%7.%8.%9"/>
      <w:lvlJc w:val="start"/>
      <w:pPr>
        <w:tabs>
          <w:tab w:val="num" w:pos="0"/>
        </w:tabs>
        <w:ind w:start="3816" w:hanging="1800"/>
      </w:pPr>
      <w:rPr/>
    </w:lvl>
  </w:abstractNum>
  <w:abstractNum w:abstractNumId="11">
    <w:lvl w:ilvl="0">
      <w:start w:val="1"/>
      <w:numFmt w:val="lowerLetter"/>
      <w:lvlText w:val="(%1)"/>
      <w:lvlJc w:val="start"/>
      <w:pPr>
        <w:tabs>
          <w:tab w:val="num" w:pos="0"/>
        </w:tabs>
        <w:ind w:start="2160" w:hanging="720"/>
      </w:pPr>
      <w:rPr/>
    </w:lvl>
  </w:abstractNum>
  <w:abstractNum w:abstractNumId="1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3">
    <w:lvl w:ilvl="0">
      <w:start w:val="1"/>
      <w:numFmt w:val="upperRoman"/>
      <w:lvlText w:val="%1"/>
      <w:lvlJc w:val="start"/>
      <w:pPr>
        <w:tabs>
          <w:tab w:val="num" w:pos="0"/>
        </w:tabs>
        <w:ind w:start="720" w:hanging="360"/>
      </w:pPr>
      <w:rPr>
        <w:b w:val="false"/>
        <w:bCs w:val="false"/>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4">
    <w:lvl w:ilvl="0">
      <w:start w:val="1"/>
      <w:numFmt w:val="lowerLetter"/>
      <w:lvlText w:val="(%1)"/>
      <w:lvlJc w:val="start"/>
      <w:pPr>
        <w:tabs>
          <w:tab w:val="num" w:pos="0"/>
        </w:tabs>
        <w:ind w:start="1495" w:hanging="360"/>
      </w:pPr>
    </w:lvl>
    <w:lvl w:ilvl="1">
      <w:start w:val="1"/>
      <w:numFmt w:val="lowerLetter"/>
      <w:lvlText w:val="%2."/>
      <w:lvlJc w:val="start"/>
      <w:pPr>
        <w:tabs>
          <w:tab w:val="num" w:pos="0"/>
        </w:tabs>
        <w:ind w:start="2215" w:hanging="360"/>
      </w:pPr>
    </w:lvl>
    <w:lvl w:ilvl="2">
      <w:start w:val="1"/>
      <w:numFmt w:val="lowerRoman"/>
      <w:lvlText w:val="%3."/>
      <w:lvlJc w:val="end"/>
      <w:pPr>
        <w:tabs>
          <w:tab w:val="num" w:pos="0"/>
        </w:tabs>
        <w:ind w:start="2935" w:hanging="180"/>
      </w:pPr>
    </w:lvl>
    <w:lvl w:ilvl="3">
      <w:start w:val="1"/>
      <w:numFmt w:val="decimal"/>
      <w:lvlText w:val="%4."/>
      <w:lvlJc w:val="start"/>
      <w:pPr>
        <w:tabs>
          <w:tab w:val="num" w:pos="0"/>
        </w:tabs>
        <w:ind w:start="3655" w:hanging="360"/>
      </w:pPr>
    </w:lvl>
    <w:lvl w:ilvl="4">
      <w:start w:val="1"/>
      <w:numFmt w:val="lowerLetter"/>
      <w:lvlText w:val="%5."/>
      <w:lvlJc w:val="start"/>
      <w:pPr>
        <w:tabs>
          <w:tab w:val="num" w:pos="0"/>
        </w:tabs>
        <w:ind w:start="4375" w:hanging="360"/>
      </w:pPr>
    </w:lvl>
    <w:lvl w:ilvl="5">
      <w:start w:val="1"/>
      <w:numFmt w:val="lowerRoman"/>
      <w:lvlText w:val="%6."/>
      <w:lvlJc w:val="end"/>
      <w:pPr>
        <w:tabs>
          <w:tab w:val="num" w:pos="0"/>
        </w:tabs>
        <w:ind w:start="5095" w:hanging="180"/>
      </w:pPr>
    </w:lvl>
    <w:lvl w:ilvl="6">
      <w:start w:val="1"/>
      <w:numFmt w:val="decimal"/>
      <w:lvlText w:val="%7."/>
      <w:lvlJc w:val="start"/>
      <w:pPr>
        <w:tabs>
          <w:tab w:val="num" w:pos="0"/>
        </w:tabs>
        <w:ind w:start="5815" w:hanging="360"/>
      </w:pPr>
    </w:lvl>
    <w:lvl w:ilvl="7">
      <w:start w:val="1"/>
      <w:numFmt w:val="lowerLetter"/>
      <w:lvlText w:val="%8."/>
      <w:lvlJc w:val="start"/>
      <w:pPr>
        <w:tabs>
          <w:tab w:val="num" w:pos="0"/>
        </w:tabs>
        <w:ind w:start="6535" w:hanging="360"/>
      </w:pPr>
    </w:lvl>
    <w:lvl w:ilvl="8">
      <w:start w:val="1"/>
      <w:numFmt w:val="lowerRoman"/>
      <w:lvlText w:val="%9."/>
      <w:lvlJc w:val="end"/>
      <w:pPr>
        <w:tabs>
          <w:tab w:val="num" w:pos="0"/>
        </w:tabs>
        <w:ind w:start="7255" w:hanging="180"/>
      </w:pPr>
    </w:lvl>
  </w:abstractNum>
  <w:abstractNum w:abstractNumId="15">
    <w:lvl w:ilvl="0">
      <w:start w:val="1"/>
      <w:numFmt w:val="lowerLetter"/>
      <w:lvlText w:val="%1)"/>
      <w:lvlJc w:val="start"/>
      <w:pPr>
        <w:tabs>
          <w:tab w:val="num" w:pos="0"/>
        </w:tabs>
        <w:ind w:start="903" w:hanging="360"/>
      </w:pPr>
    </w:lvl>
    <w:lvl w:ilvl="1">
      <w:start w:val="1"/>
      <w:numFmt w:val="lowerLetter"/>
      <w:lvlText w:val="%2."/>
      <w:lvlJc w:val="start"/>
      <w:pPr>
        <w:tabs>
          <w:tab w:val="num" w:pos="0"/>
        </w:tabs>
        <w:ind w:start="1623" w:hanging="360"/>
      </w:pPr>
    </w:lvl>
    <w:lvl w:ilvl="2">
      <w:start w:val="1"/>
      <w:numFmt w:val="lowerRoman"/>
      <w:lvlText w:val="%3."/>
      <w:lvlJc w:val="end"/>
      <w:pPr>
        <w:tabs>
          <w:tab w:val="num" w:pos="0"/>
        </w:tabs>
        <w:ind w:start="2343" w:hanging="180"/>
      </w:pPr>
    </w:lvl>
    <w:lvl w:ilvl="3">
      <w:start w:val="1"/>
      <w:numFmt w:val="decimal"/>
      <w:lvlText w:val="%4."/>
      <w:lvlJc w:val="start"/>
      <w:pPr>
        <w:tabs>
          <w:tab w:val="num" w:pos="0"/>
        </w:tabs>
        <w:ind w:start="3063" w:hanging="360"/>
      </w:pPr>
    </w:lvl>
    <w:lvl w:ilvl="4">
      <w:start w:val="1"/>
      <w:numFmt w:val="lowerLetter"/>
      <w:lvlText w:val="%5."/>
      <w:lvlJc w:val="start"/>
      <w:pPr>
        <w:tabs>
          <w:tab w:val="num" w:pos="0"/>
        </w:tabs>
        <w:ind w:start="3783" w:hanging="360"/>
      </w:pPr>
    </w:lvl>
    <w:lvl w:ilvl="5">
      <w:start w:val="1"/>
      <w:numFmt w:val="lowerRoman"/>
      <w:lvlText w:val="%6."/>
      <w:lvlJc w:val="end"/>
      <w:pPr>
        <w:tabs>
          <w:tab w:val="num" w:pos="0"/>
        </w:tabs>
        <w:ind w:start="4503" w:hanging="180"/>
      </w:pPr>
    </w:lvl>
    <w:lvl w:ilvl="6">
      <w:start w:val="1"/>
      <w:numFmt w:val="decimal"/>
      <w:lvlText w:val="%7."/>
      <w:lvlJc w:val="start"/>
      <w:pPr>
        <w:tabs>
          <w:tab w:val="num" w:pos="0"/>
        </w:tabs>
        <w:ind w:start="5223" w:hanging="360"/>
      </w:pPr>
    </w:lvl>
    <w:lvl w:ilvl="7">
      <w:start w:val="1"/>
      <w:numFmt w:val="lowerLetter"/>
      <w:lvlText w:val="%8."/>
      <w:lvlJc w:val="start"/>
      <w:pPr>
        <w:tabs>
          <w:tab w:val="num" w:pos="0"/>
        </w:tabs>
        <w:ind w:start="5943" w:hanging="360"/>
      </w:pPr>
    </w:lvl>
    <w:lvl w:ilvl="8">
      <w:start w:val="1"/>
      <w:numFmt w:val="lowerRoman"/>
      <w:lvlText w:val="%9."/>
      <w:lvlJc w:val="end"/>
      <w:pPr>
        <w:tabs>
          <w:tab w:val="num" w:pos="0"/>
        </w:tabs>
        <w:ind w:start="6663" w:hanging="180"/>
      </w:pPr>
    </w:lvl>
  </w:abstractNum>
  <w:abstractNum w:abstractNumId="16">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7">
    <w:lvl w:ilvl="0">
      <w:start w:val="1"/>
      <w:numFmt w:val="upperRoman"/>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4"/>
    <w:lvlOverride w:ilvl="0">
      <w:startOverride w:val="1"/>
    </w:lvlOverride>
  </w:num>
  <w:num w:numId="19">
    <w:abstractNumId w:val="1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tabs>
        <w:tab w:val="clear" w:pos="720"/>
        <w:tab w:val="left" w:pos="2160" w:leader="none"/>
      </w:tabs>
      <w:autoSpaceDE w:val="false"/>
      <w:jc w:val="both"/>
      <w:outlineLvl w:val="0"/>
    </w:pPr>
    <w:rPr>
      <w:rFonts w:ascii="Courier;Courier New" w:hAnsi="Courier;Courier New" w:cs="Courier;Courier New"/>
      <w:b/>
      <w:bCs/>
      <w:sz w:val="20"/>
    </w:rPr>
  </w:style>
  <w:style w:type="paragraph" w:styleId="Heading2">
    <w:name w:val="Heading 2"/>
    <w:basedOn w:val="Normal"/>
    <w:next w:val="Normal"/>
    <w:qFormat/>
    <w:pPr>
      <w:keepNext w:val="true"/>
      <w:numPr>
        <w:ilvl w:val="1"/>
        <w:numId w:val="1"/>
      </w:numPr>
      <w:jc w:val="center"/>
      <w:outlineLvl w:val="1"/>
    </w:pPr>
    <w:rPr>
      <w:b/>
      <w:bCs/>
    </w:rPr>
  </w:style>
  <w:style w:type="paragraph" w:styleId="Heading3">
    <w:name w:val="Heading 3"/>
    <w:basedOn w:val="Normal"/>
    <w:next w:val="Normal"/>
    <w:qFormat/>
    <w:pPr>
      <w:keepNext w:val="true"/>
      <w:numPr>
        <w:ilvl w:val="2"/>
        <w:numId w:val="1"/>
      </w:numPr>
      <w:tabs>
        <w:tab w:val="clear" w:pos="720"/>
        <w:tab w:val="left" w:pos="374" w:leader="none"/>
      </w:tabs>
      <w:jc w:val="both"/>
      <w:outlineLvl w:val="2"/>
    </w:pPr>
    <w:rPr>
      <w:b/>
      <w:bCs/>
    </w:rPr>
  </w:style>
  <w:style w:type="character" w:styleId="WW8Num2z0">
    <w:name w:val="WW8Num2z0"/>
    <w:qFormat/>
    <w:rPr>
      <w:b w:val="false"/>
    </w:rPr>
  </w:style>
  <w:style w:type="character" w:styleId="WW8Num2z1">
    <w:name w:val="WW8Num2z1"/>
    <w:qFormat/>
    <w:rPr>
      <w:b w:val="false"/>
      <w:bCs w:val="false"/>
    </w:rPr>
  </w:style>
  <w:style w:type="character" w:styleId="WW8Num2z2">
    <w:name w:val="WW8Num2z2"/>
    <w:qFormat/>
    <w:rPr/>
  </w:style>
  <w:style w:type="character" w:styleId="WW8Num3z0">
    <w:name w:val="WW8Num3z0"/>
    <w:qFormat/>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val="false"/>
    </w:rPr>
  </w:style>
  <w:style w:type="character" w:styleId="WW8Num5z1">
    <w:name w:val="WW8Num5z1"/>
    <w:qFormat/>
    <w:rPr/>
  </w:style>
  <w:style w:type="character" w:styleId="WW8Num6z0">
    <w:name w:val="WW8Num6z0"/>
    <w:qFormat/>
    <w:rPr/>
  </w:style>
  <w:style w:type="character" w:styleId="WW8Num7z0">
    <w:name w:val="WW8Num7z0"/>
    <w:qFormat/>
    <w:rPr/>
  </w:style>
  <w:style w:type="character" w:styleId="WW8Num8z0">
    <w:name w:val="WW8Num8z0"/>
    <w:qFormat/>
    <w:rPr>
      <w:rFonts w:ascii="Arial" w:hAnsi="Arial" w:eastAsia="Times New Roman" w:cs="Aria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b w:val="false"/>
    </w:rPr>
  </w:style>
  <w:style w:type="character" w:styleId="WW8Num10z1">
    <w:name w:val="WW8Num10z1"/>
    <w:qFormat/>
    <w:rPr/>
  </w:style>
  <w:style w:type="character" w:styleId="WW8Num11z0">
    <w:name w:val="WW8Num11z0"/>
    <w:qFormat/>
    <w:rPr/>
  </w:style>
  <w:style w:type="character" w:styleId="WW8Num12z0">
    <w:name w:val="WW8Num12z0"/>
    <w:qFormat/>
    <w:rPr>
      <w:b/>
      <w:bCs/>
    </w:rPr>
  </w:style>
  <w:style w:type="character" w:styleId="WW8Num12z1">
    <w:name w:val="WW8Num12z1"/>
    <w:qFormat/>
    <w:rPr/>
  </w:style>
  <w:style w:type="character" w:styleId="WW8Num13z0">
    <w:name w:val="WW8Num13z0"/>
    <w:qFormat/>
    <w:rPr/>
  </w:style>
  <w:style w:type="character" w:styleId="WW8Num14z0">
    <w:name w:val="WW8Num14z0"/>
    <w:qFormat/>
    <w:rPr/>
  </w:style>
  <w:style w:type="character" w:styleId="WW8Num15z0">
    <w:name w:val="WW8Num15z0"/>
    <w:qFormat/>
    <w:rPr>
      <w:b w:val="false"/>
      <w:bCs w:val="false"/>
    </w:rPr>
  </w:style>
  <w:style w:type="character" w:styleId="WW8Num16z0">
    <w:name w:val="WW8Num16z0"/>
    <w:qFormat/>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20z0">
    <w:name w:val="WW8Num20z0"/>
    <w:qFormat/>
    <w:rPr/>
  </w:style>
  <w:style w:type="character" w:styleId="WW8Num21z0">
    <w:name w:val="WW8Num21z0"/>
    <w:qFormat/>
    <w:rPr/>
  </w:style>
  <w:style w:type="character" w:styleId="DefaultParagraphFont">
    <w:name w:val="Default Paragraph Font"/>
    <w:qFormat/>
    <w:rPr/>
  </w:style>
  <w:style w:type="character" w:styleId="Heading1Char">
    <w:name w:val="Heading 1 Char"/>
    <w:qFormat/>
    <w:rPr>
      <w:rFonts w:ascii="Courier;Courier New" w:hAnsi="Courier;Courier New" w:eastAsia="Times New Roman" w:cs="Times New Roman"/>
      <w:b/>
      <w:bCs/>
      <w:sz w:val="20"/>
      <w:szCs w:val="24"/>
    </w:rPr>
  </w:style>
  <w:style w:type="character" w:styleId="Heading2Char">
    <w:name w:val="Heading 2 Char"/>
    <w:qFormat/>
    <w:rPr>
      <w:rFonts w:ascii="Times New Roman" w:hAnsi="Times New Roman" w:eastAsia="Times New Roman" w:cs="Times New Roman"/>
      <w:b/>
      <w:bCs/>
      <w:sz w:val="24"/>
      <w:szCs w:val="24"/>
    </w:rPr>
  </w:style>
  <w:style w:type="character" w:styleId="Heading3Char">
    <w:name w:val="Heading 3 Char"/>
    <w:qFormat/>
    <w:rPr>
      <w:rFonts w:ascii="Times New Roman" w:hAnsi="Times New Roman" w:eastAsia="Times New Roman" w:cs="Times New Roman"/>
      <w:b/>
      <w:bCs/>
      <w:sz w:val="24"/>
      <w:szCs w:val="24"/>
    </w:rPr>
  </w:style>
  <w:style w:type="character" w:styleId="BalloonTextChar">
    <w:name w:val="Balloon Text Char"/>
    <w:qFormat/>
    <w:rPr>
      <w:rFonts w:ascii="Tahoma" w:hAnsi="Tahoma" w:eastAsia="Times New Roman" w:cs="Tahoma"/>
      <w:sz w:val="16"/>
      <w:szCs w:val="16"/>
    </w:rPr>
  </w:style>
  <w:style w:type="character" w:styleId="BodyText2Char">
    <w:name w:val="Body Text 2 Char"/>
    <w:qFormat/>
    <w:rPr>
      <w:rFonts w:ascii="Times New Roman" w:hAnsi="Times New Roman" w:eastAsia="Times New Roman" w:cs="Times New Roman"/>
      <w:sz w:val="24"/>
      <w:szCs w:val="24"/>
      <w:lang w:val="en-US"/>
    </w:rPr>
  </w:style>
  <w:style w:type="character" w:styleId="BodyTextIndentChar">
    <w:name w:val="Body Text Indent Char"/>
    <w:qFormat/>
    <w:rPr>
      <w:rFonts w:ascii="Courier;Courier New" w:hAnsi="Courier;Courier New" w:eastAsia="Times New Roman" w:cs="Times New Roman"/>
      <w:sz w:val="20"/>
      <w:szCs w:val="24"/>
    </w:rPr>
  </w:style>
  <w:style w:type="character" w:styleId="BodyTextIndent2Char">
    <w:name w:val="Body Text Indent 2 Char"/>
    <w:qFormat/>
    <w:rPr>
      <w:rFonts w:ascii="Courier;Courier New" w:hAnsi="Courier;Courier New" w:eastAsia="Times New Roman" w:cs="Times New Roman"/>
      <w:sz w:val="20"/>
      <w:szCs w:val="24"/>
    </w:rPr>
  </w:style>
  <w:style w:type="character" w:styleId="BodyTextIndent3Char">
    <w:name w:val="Body Text Indent 3 Char"/>
    <w:qFormat/>
    <w:rPr>
      <w:rFonts w:ascii="Courier;Courier New" w:hAnsi="Courier;Courier New" w:eastAsia="Times New Roman" w:cs="Times New Roman"/>
      <w:b/>
      <w:bCs/>
      <w:sz w:val="20"/>
      <w:szCs w:val="24"/>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lang w:val="en-US"/>
    </w:rPr>
  </w:style>
  <w:style w:type="character" w:styleId="CommentSubjectChar">
    <w:name w:val="Comment Subject Char"/>
    <w:qFormat/>
    <w:rPr>
      <w:rFonts w:ascii="Times New Roman" w:hAnsi="Times New Roman" w:eastAsia="Times New Roman" w:cs="Times New Roman"/>
      <w:b/>
      <w:bCs/>
      <w:lang w:val="en-US"/>
    </w:rPr>
  </w:style>
  <w:style w:type="character" w:styleId="FooterChar">
    <w:name w:val="Footer Char"/>
    <w:qFormat/>
    <w:rPr>
      <w:rFonts w:ascii="Times New Roman" w:hAnsi="Times New Roman" w:eastAsia="Times New Roman" w:cs="Times New Roman"/>
      <w:sz w:val="20"/>
      <w:szCs w:val="20"/>
    </w:rPr>
  </w:style>
  <w:style w:type="character" w:styleId="HeaderChar">
    <w:name w:val="Header Char"/>
    <w:qFormat/>
    <w:rPr>
      <w:rFonts w:ascii="Times New Roman" w:hAnsi="Times New Roman" w:eastAsia="Times New Roman" w:cs="Times New Roman"/>
      <w:sz w:val="24"/>
      <w:szCs w:val="24"/>
    </w:rPr>
  </w:style>
  <w:style w:type="character" w:styleId="PageNumber">
    <w:name w:val="Page Number"/>
    <w:rPr/>
  </w:style>
  <w:style w:type="character" w:styleId="PlainTextChar">
    <w:name w:val="Plain Text Char"/>
    <w:qFormat/>
    <w:rPr>
      <w:rFonts w:ascii="Courier New" w:hAnsi="Courier New" w:eastAsia="Times New Roman" w:cs="Courier New"/>
      <w:lang w:val="en-GB"/>
    </w:rPr>
  </w:style>
  <w:style w:type="character" w:styleId="TitleChar">
    <w:name w:val="Title Char"/>
    <w:qFormat/>
    <w:rPr>
      <w:rFonts w:ascii="Courier;Courier New" w:hAnsi="Courier;Courier New" w:eastAsia="Times New Roman" w:cs="Times New Roman"/>
      <w:b/>
      <w:bCs/>
      <w:sz w:val="32"/>
      <w:szCs w:val="32"/>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autoSpaceDE w:val="false"/>
      <w:jc w:val="center"/>
    </w:pPr>
    <w:rPr>
      <w:rFonts w:ascii="Courier;Courier New" w:hAnsi="Courier;Courier New" w:cs="Courier;Courier New"/>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Tahoma" w:hAnsi="Tahoma" w:cs="Tahoma"/>
      <w:sz w:val="16"/>
      <w:szCs w:val="16"/>
    </w:rPr>
  </w:style>
  <w:style w:type="paragraph" w:styleId="BlockText">
    <w:name w:val="Block Text"/>
    <w:basedOn w:val="Normal"/>
    <w:qFormat/>
    <w:pPr>
      <w:autoSpaceDE w:val="false"/>
      <w:ind w:hanging="450" w:start="2610" w:end="720"/>
      <w:jc w:val="both"/>
    </w:pPr>
    <w:rPr>
      <w:rFonts w:ascii="Courier;Courier New" w:hAnsi="Courier;Courier New" w:cs="Courier;Courier New"/>
      <w:sz w:val="20"/>
    </w:rPr>
  </w:style>
  <w:style w:type="paragraph" w:styleId="BodyText2">
    <w:name w:val="Body Text 2"/>
    <w:basedOn w:val="Normal"/>
    <w:qFormat/>
    <w:pPr>
      <w:spacing w:lineRule="auto" w:line="480" w:before="0" w:after="120"/>
    </w:pPr>
    <w:rPr/>
  </w:style>
  <w:style w:type="paragraph" w:styleId="BodyTextIndent">
    <w:name w:val="Body Text Indent"/>
    <w:basedOn w:val="Normal"/>
    <w:pPr>
      <w:autoSpaceDE w:val="false"/>
      <w:ind w:hanging="360" w:start="1440" w:end="0"/>
      <w:jc w:val="both"/>
    </w:pPr>
    <w:rPr>
      <w:rFonts w:ascii="Courier;Courier New" w:hAnsi="Courier;Courier New" w:cs="Courier;Courier New"/>
      <w:sz w:val="20"/>
    </w:rPr>
  </w:style>
  <w:style w:type="paragraph" w:styleId="BodyTextIndent2">
    <w:name w:val="Body Text Indent 2"/>
    <w:basedOn w:val="Normal"/>
    <w:qFormat/>
    <w:pPr>
      <w:autoSpaceDE w:val="false"/>
      <w:ind w:hanging="540" w:start="900" w:end="0"/>
      <w:jc w:val="both"/>
    </w:pPr>
    <w:rPr>
      <w:rFonts w:ascii="Courier;Courier New" w:hAnsi="Courier;Courier New" w:cs="Courier;Courier New"/>
      <w:sz w:val="20"/>
    </w:rPr>
  </w:style>
  <w:style w:type="paragraph" w:styleId="BodyTextIndent3">
    <w:name w:val="Body Text Indent 3"/>
    <w:basedOn w:val="Normal"/>
    <w:qFormat/>
    <w:pPr>
      <w:tabs>
        <w:tab w:val="clear" w:pos="720"/>
        <w:tab w:val="left" w:pos="360" w:leader="none"/>
        <w:tab w:val="left" w:pos="2160" w:leader="none"/>
      </w:tabs>
      <w:autoSpaceDE w:val="false"/>
      <w:ind w:hanging="2160" w:start="2160" w:end="0"/>
      <w:jc w:val="both"/>
    </w:pPr>
    <w:rPr>
      <w:rFonts w:ascii="Courier;Courier New" w:hAnsi="Courier;Courier New" w:cs="Courier;Courier New"/>
      <w:b/>
      <w:bCs/>
      <w:sz w:val="20"/>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autoSpaceDE w:val="false"/>
    </w:pPr>
    <w:rPr>
      <w:sz w:val="20"/>
      <w:szCs w:val="20"/>
    </w:rPr>
  </w:style>
  <w:style w:type="paragraph" w:styleId="Header">
    <w:name w:val="Header"/>
    <w:basedOn w:val="Normal"/>
    <w:pPr>
      <w:tabs>
        <w:tab w:val="clear" w:pos="720"/>
        <w:tab w:val="center" w:pos="4513" w:leader="none"/>
        <w:tab w:val="right" w:pos="9026" w:leader="none"/>
      </w:tabs>
    </w:pPr>
    <w:rPr/>
  </w:style>
  <w:style w:type="paragraph" w:styleId="PlainText">
    <w:name w:val="Plain Text"/>
    <w:basedOn w:val="Normal"/>
    <w:qFormat/>
    <w:pPr/>
    <w:rPr>
      <w:rFonts w:ascii="Courier New" w:hAnsi="Courier New" w:cs="Courier New"/>
      <w:sz w:val="20"/>
      <w:szCs w:val="20"/>
      <w:lang w:val="en-GB"/>
    </w:rPr>
  </w:style>
  <w:style w:type="paragraph" w:styleId="NoSpacing">
    <w:name w:val="No Spacing"/>
    <w:qFormat/>
    <w:pPr>
      <w:widowControl/>
      <w:bidi w:val="0"/>
    </w:pPr>
    <w:rPr>
      <w:rFonts w:ascii="Calibri" w:hAnsi="Calibri" w:eastAsia="Calibri" w:cs="Times New Roman"/>
      <w:color w:val="auto"/>
      <w:sz w:val="22"/>
      <w:szCs w:val="22"/>
      <w:lang w:val="en-US" w:bidi="ar-SA" w:eastAsia="zh-CN"/>
    </w:rPr>
  </w:style>
  <w:style w:type="paragraph" w:styleId="ListParagraph">
    <w:name w:val="List Paragraph"/>
    <w:basedOn w:val="Normal"/>
    <w:qFormat/>
    <w:pPr>
      <w:ind w:hanging="0" w:start="720" w:end="0"/>
    </w:pPr>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tanshareenalee@gmail.com" TargetMode="External"/><Relationship Id="rId3" Type="http://schemas.openxmlformats.org/officeDocument/2006/relationships/hyperlink" Target="mailto:taipingoffice@ong-raymondhor.co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2026-07-02T10:08:00Z</dcterms:created>
  <dc:creator>user</dc:creator>
  <dc:description/>
  <cp:keywords/>
  <dc:language>en-US</dc:language>
  <cp:lastModifiedBy>Annie Tan</cp:lastModifiedBy>
  <cp:lastPrinted>2026-07-02T16:17:00Z</cp:lastPrinted>
  <dcterms:modified xsi:type="dcterms:W3CDTF">2026-07-02T10:08:00Z</dcterms:modified>
  <cp:revision>2</cp:revision>
  <dc:subject/>
  <dc:title>Sale and Purchase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6fef79ffc33a18d06f3bcf9403f15a47312f6ca56cc669ce5430cca474a52f42</vt:lpwstr>
  </property>
  <property fmtid="{D5CDD505-2E9C-101B-9397-08002B2CF9AE}" pid="3" name="ICV">
    <vt:lpwstr>39C4C0E0CE6846649992E1F2E59C943A</vt:lpwstr>
  </property>
  <property fmtid="{D5CDD505-2E9C-101B-9397-08002B2CF9AE}" pid="4" name="KSOProductBuildVer">
    <vt:lpwstr>1033-11.2.0.11537</vt:lpwstr>
  </property>
</Properties>
</file>