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8D82" w14:textId="77777777" w:rsidR="00871610" w:rsidRDefault="00000000">
      <w:pPr>
        <w:jc w:val="center"/>
      </w:pPr>
      <w:r>
        <w:rPr>
          <w:b/>
          <w:sz w:val="40"/>
        </w:rPr>
        <w:t>TradingbotR1000</w:t>
      </w:r>
    </w:p>
    <w:p w14:paraId="27BD9962" w14:textId="77777777" w:rsidR="00871610" w:rsidRDefault="00000000" w:rsidP="00120EA2">
      <w:r>
        <w:rPr>
          <w:b/>
          <w:sz w:val="32"/>
        </w:rPr>
        <w:t>Strategy Specification</w:t>
      </w:r>
    </w:p>
    <w:p w14:paraId="2FB20052" w14:textId="62C87647" w:rsidR="00871610" w:rsidRDefault="00000000">
      <w:pPr>
        <w:jc w:val="center"/>
      </w:pPr>
      <w:r>
        <w:rPr>
          <w:i/>
          <w:sz w:val="20"/>
        </w:rPr>
        <w:t>Final Version 1.</w:t>
      </w:r>
      <w:r w:rsidR="003D0DBC">
        <w:rPr>
          <w:i/>
          <w:sz w:val="20"/>
        </w:rPr>
        <w:t>1</w:t>
      </w:r>
    </w:p>
    <w:p w14:paraId="5AC31AB6" w14:textId="77777777" w:rsidR="00871610" w:rsidRDefault="00000000">
      <w:r>
        <w:rPr>
          <w:b/>
        </w:rPr>
        <w:t xml:space="preserve">Purpose. </w:t>
      </w:r>
      <w:r>
        <w:t>This document states the trading methodology described in the source video transcript. It does not introduce strategy enhancements, additional filters or software-implementation rules.</w:t>
      </w:r>
    </w:p>
    <w:p w14:paraId="09E4988E" w14:textId="77777777" w:rsidR="00871610" w:rsidRDefault="00000000">
      <w:pPr>
        <w:pStyle w:val="Titolo1"/>
      </w:pPr>
      <w:r>
        <w:t>1. Strategy Concept</w:t>
      </w:r>
    </w:p>
    <w:p w14:paraId="21BD2A4C" w14:textId="77777777" w:rsidR="00871610" w:rsidRDefault="00000000">
      <w:r>
        <w:t>The system is a long-only mean-reversion strategy. It identifies stocks in an uptrend, waits for a pullback that produces an oversold condition, buys below the signal-day close and sells after a short-term rebound. No reversal-pattern confirmation is required before entry.</w:t>
      </w:r>
    </w:p>
    <w:p w14:paraId="710C6D9D" w14:textId="77777777" w:rsidR="00871610" w:rsidRDefault="00000000">
      <w:pPr>
        <w:pStyle w:val="Titolo1"/>
      </w:pPr>
      <w:r>
        <w:t>2. Investment Universe and Timeframe</w:t>
      </w:r>
    </w:p>
    <w:p w14:paraId="04D60F3C" w14:textId="77777777" w:rsidR="00871610" w:rsidRDefault="00000000">
      <w:pPr>
        <w:pStyle w:val="Puntoelenco"/>
      </w:pPr>
      <w:r>
        <w:t>Universe: stocks in the Russell 1000 Index.</w:t>
      </w:r>
    </w:p>
    <w:p w14:paraId="23131331" w14:textId="77777777" w:rsidR="00871610" w:rsidRDefault="00000000">
      <w:pPr>
        <w:pStyle w:val="Puntoelenco"/>
      </w:pPr>
      <w:r>
        <w:t>Timeframe: daily bars.</w:t>
      </w:r>
    </w:p>
    <w:p w14:paraId="2DD40097" w14:textId="77777777" w:rsidR="00871610" w:rsidRDefault="00000000">
      <w:pPr>
        <w:pStyle w:val="Puntoelenco"/>
      </w:pPr>
      <w:r>
        <w:t>The purpose of using the Russell 1000 is to trade large, liquid US stocks with limited slippage.</w:t>
      </w:r>
    </w:p>
    <w:p w14:paraId="392766C4" w14:textId="77777777" w:rsidR="00871610" w:rsidRDefault="00000000">
      <w:pPr>
        <w:pStyle w:val="Titolo1"/>
      </w:pPr>
      <w:r>
        <w:t>3. Capital Allocation</w:t>
      </w:r>
    </w:p>
    <w:p w14:paraId="5D5D682C" w14:textId="627858F4" w:rsidR="00A55A6B" w:rsidRDefault="000654B4">
      <w:pPr>
        <w:pStyle w:val="Puntoelenco"/>
      </w:pPr>
      <w:r w:rsidRPr="000654B4">
        <w:t xml:space="preserve">The Net Liquidation Value (NLV) </w:t>
      </w:r>
      <w:r w:rsidRPr="00A55A6B">
        <w:t>of the IBKR</w:t>
      </w:r>
      <w:r>
        <w:t xml:space="preserve"> account</w:t>
      </w:r>
      <w:r w:rsidRPr="000654B4">
        <w:t xml:space="preserve"> represents the total account equity</w:t>
      </w:r>
      <w:r w:rsidR="00A55A6B">
        <w:t>.</w:t>
      </w:r>
    </w:p>
    <w:p w14:paraId="1F4B7273" w14:textId="13107431" w:rsidR="00A55A6B" w:rsidRDefault="000654B4">
      <w:pPr>
        <w:pStyle w:val="Puntoelenco"/>
      </w:pPr>
      <w:r w:rsidRPr="000654B4">
        <w:t>The investable capital is defined as 70% of the Net Liquidation Value (NLV).</w:t>
      </w:r>
    </w:p>
    <w:p w14:paraId="6E9E3814" w14:textId="0D93B9E8" w:rsidR="00D64F2F" w:rsidRPr="00A55A6B" w:rsidRDefault="00D64F2F">
      <w:pPr>
        <w:pStyle w:val="Puntoelenco"/>
      </w:pPr>
      <w:r>
        <w:t xml:space="preserve">A 30% of the </w:t>
      </w:r>
      <w:r w:rsidR="00FA0353">
        <w:t>NLV</w:t>
      </w:r>
      <w:r>
        <w:t xml:space="preserve"> </w:t>
      </w:r>
      <w:r w:rsidRPr="00D64F2F">
        <w:t>is maintained as a liquidity reserve, which can be used exclusively to support temporary position replacement operations and not to increase the portfolio's overall exposure.</w:t>
      </w:r>
    </w:p>
    <w:p w14:paraId="379E32BD" w14:textId="2A345FD6" w:rsidR="00871610" w:rsidRDefault="00000000">
      <w:pPr>
        <w:pStyle w:val="Puntoelenco"/>
      </w:pPr>
      <w:r>
        <w:t xml:space="preserve">Allocate 20% of </w:t>
      </w:r>
      <w:r w:rsidR="00FA0353">
        <w:t xml:space="preserve">the </w:t>
      </w:r>
      <w:r w:rsidR="00FA0353" w:rsidRPr="000654B4">
        <w:t>investable</w:t>
      </w:r>
      <w:r>
        <w:t xml:space="preserve"> capital to each position.</w:t>
      </w:r>
    </w:p>
    <w:p w14:paraId="4B0D45B7" w14:textId="77777777" w:rsidR="00871610" w:rsidRDefault="00000000">
      <w:pPr>
        <w:pStyle w:val="Puntoelenco"/>
      </w:pPr>
      <w:r>
        <w:t>Hold no more than five positions at the same time.</w:t>
      </w:r>
    </w:p>
    <w:p w14:paraId="57385B24" w14:textId="21522E86" w:rsidR="00871610" w:rsidRDefault="00000000">
      <w:pPr>
        <w:pStyle w:val="Puntoelenco"/>
      </w:pPr>
      <w:r>
        <w:t xml:space="preserve">When five positions are fully allocated, 100% of </w:t>
      </w:r>
      <w:r w:rsidR="00FA0353">
        <w:t xml:space="preserve">the </w:t>
      </w:r>
      <w:r w:rsidR="00FA0353" w:rsidRPr="000654B4">
        <w:t>investable</w:t>
      </w:r>
      <w:r w:rsidR="00FA0353">
        <w:t xml:space="preserve"> </w:t>
      </w:r>
      <w:r>
        <w:t>capital is invested.</w:t>
      </w:r>
    </w:p>
    <w:p w14:paraId="280D4FDE" w14:textId="77777777" w:rsidR="00871610" w:rsidRDefault="00000000">
      <w:pPr>
        <w:pStyle w:val="Puntoelenco"/>
      </w:pPr>
      <w:r>
        <w:t>No leverage is used.</w:t>
      </w:r>
    </w:p>
    <w:p w14:paraId="21BDBEAF" w14:textId="77777777" w:rsidR="00871610" w:rsidRDefault="00000000">
      <w:pPr>
        <w:pStyle w:val="Titolo1"/>
      </w:pPr>
      <w:r>
        <w:t>4. Entry Setup</w:t>
      </w:r>
    </w:p>
    <w:p w14:paraId="0748FA8C" w14:textId="77777777" w:rsidR="00871610" w:rsidRDefault="00000000">
      <w:r>
        <w:t>A stock qualifies as an entry candidate when both conditions below are satisfied on a completed daily bar:</w:t>
      </w:r>
    </w:p>
    <w:p w14:paraId="15C07E77" w14:textId="77777777" w:rsidR="00871610" w:rsidRDefault="00000000">
      <w:pPr>
        <w:pStyle w:val="Puntoelenco"/>
      </w:pPr>
      <w:r>
        <w:t>Trend condition: the stock closes above its 200-day moving average. The example uses the 200-day Simple Moving Average (SMA).</w:t>
      </w:r>
    </w:p>
    <w:p w14:paraId="14C05826" w14:textId="77777777" w:rsidR="00871610" w:rsidRDefault="00000000">
      <w:pPr>
        <w:pStyle w:val="Puntoelenco"/>
      </w:pPr>
      <w:r>
        <w:t>Pullback condition: the stock closes below the lower Bollinger Band.</w:t>
      </w:r>
    </w:p>
    <w:p w14:paraId="32027722" w14:textId="77777777" w:rsidR="00871610" w:rsidRDefault="00000000">
      <w:r>
        <w:t>Bollinger Band settings:</w:t>
      </w:r>
    </w:p>
    <w:p w14:paraId="23A11836" w14:textId="77777777" w:rsidR="00871610" w:rsidRDefault="00000000">
      <w:pPr>
        <w:pStyle w:val="Puntoelenco"/>
      </w:pPr>
      <w:r>
        <w:t>Lookback period: 20 trading days.</w:t>
      </w:r>
    </w:p>
    <w:p w14:paraId="762AA6AE" w14:textId="77777777" w:rsidR="00871610" w:rsidRDefault="00000000">
      <w:pPr>
        <w:pStyle w:val="Puntoelenco"/>
      </w:pPr>
      <w:r>
        <w:t>Band width: 2.5 standard deviations.</w:t>
      </w:r>
    </w:p>
    <w:p w14:paraId="5D4963F6" w14:textId="77777777" w:rsidR="00871610" w:rsidRDefault="00000000">
      <w:pPr>
        <w:pStyle w:val="Titolo1"/>
      </w:pPr>
      <w:r>
        <w:lastRenderedPageBreak/>
        <w:t>5. Entry Order</w:t>
      </w:r>
    </w:p>
    <w:p w14:paraId="638CACDB" w14:textId="77777777" w:rsidR="00871610" w:rsidRDefault="00000000">
      <w:r>
        <w:t>When the entry setup is present, place a buy limit order 3% below the signal-day closing price:</w:t>
      </w:r>
    </w:p>
    <w:p w14:paraId="26D03B41" w14:textId="77777777" w:rsidR="00871610" w:rsidRDefault="00000000">
      <w:pPr>
        <w:jc w:val="center"/>
      </w:pPr>
      <w:r>
        <w:rPr>
          <w:b/>
        </w:rPr>
        <w:t>Buy Limit Price = Signal-Day Close × 0.97</w:t>
      </w:r>
    </w:p>
    <w:p w14:paraId="1D7E0375" w14:textId="77777777" w:rsidR="00871610" w:rsidRDefault="00000000">
      <w:pPr>
        <w:pStyle w:val="Puntoelenco"/>
      </w:pPr>
      <w:r>
        <w:t>The order is intended for the next trading day.</w:t>
      </w:r>
    </w:p>
    <w:p w14:paraId="065766FD" w14:textId="77777777" w:rsidR="00871610" w:rsidRDefault="00000000">
      <w:pPr>
        <w:pStyle w:val="Puntoelenco"/>
      </w:pPr>
      <w:r>
        <w:t>If the market trades at or below the limit price, the order may be filled at the limit price or at a lower price.</w:t>
      </w:r>
    </w:p>
    <w:p w14:paraId="6216B653" w14:textId="7AF6B866" w:rsidR="00871610" w:rsidRDefault="00000000">
      <w:pPr>
        <w:pStyle w:val="Puntoelenco"/>
      </w:pPr>
      <w:r>
        <w:t xml:space="preserve">Position size remains 20% of </w:t>
      </w:r>
      <w:r w:rsidR="00FA0353">
        <w:t xml:space="preserve">the </w:t>
      </w:r>
      <w:r w:rsidR="00FA0353" w:rsidRPr="000654B4">
        <w:t>investable</w:t>
      </w:r>
      <w:r w:rsidR="00FA0353">
        <w:t xml:space="preserve"> </w:t>
      </w:r>
      <w:r>
        <w:t>capital.</w:t>
      </w:r>
    </w:p>
    <w:p w14:paraId="1C5D73C2" w14:textId="77777777" w:rsidR="00871610" w:rsidRDefault="00000000">
      <w:pPr>
        <w:pStyle w:val="Titolo1"/>
      </w:pPr>
      <w:r>
        <w:t>6. Candidate Ranking</w:t>
      </w:r>
    </w:p>
    <w:p w14:paraId="482E98A4" w14:textId="77777777" w:rsidR="00871610" w:rsidRDefault="00000000">
      <w:r>
        <w:t>The ranking rule is used only when the number of valid entry candidates exceeds the number of available portfolio positions.</w:t>
      </w:r>
    </w:p>
    <w:p w14:paraId="3EA2AA23" w14:textId="77777777" w:rsidR="00871610" w:rsidRDefault="00000000">
      <w:pPr>
        <w:pStyle w:val="Puntoelenco"/>
      </w:pPr>
      <w:r>
        <w:t>Calculate each candidate’s price increase over the previous 150 trading days.</w:t>
      </w:r>
    </w:p>
    <w:p w14:paraId="0165E366" w14:textId="77777777" w:rsidR="00871610" w:rsidRDefault="00000000">
      <w:pPr>
        <w:pStyle w:val="Puntoelenco"/>
      </w:pPr>
      <w:r>
        <w:t>Give priority to the candidates with the greatest 150-day price appreciation.</w:t>
      </w:r>
    </w:p>
    <w:p w14:paraId="3CD17BFF" w14:textId="77777777" w:rsidR="00871610" w:rsidRDefault="00000000">
      <w:pPr>
        <w:pStyle w:val="Puntoelenco"/>
      </w:pPr>
      <w:r>
        <w:t>The source strategy does not require a stock to remain in the ranking for any minimum number of days.</w:t>
      </w:r>
    </w:p>
    <w:p w14:paraId="4B8ECB77" w14:textId="77777777" w:rsidR="00871610" w:rsidRDefault="00000000">
      <w:pPr>
        <w:pStyle w:val="Titolo1"/>
      </w:pPr>
      <w:r>
        <w:t>7. Exit Rules</w:t>
      </w:r>
    </w:p>
    <w:p w14:paraId="402073C4" w14:textId="77777777" w:rsidR="00871610" w:rsidRDefault="00000000">
      <w:r>
        <w:t>After an entry order is filled, close the position when the first of the following two events occurs:</w:t>
      </w:r>
    </w:p>
    <w:p w14:paraId="3805F062" w14:textId="77777777" w:rsidR="00871610" w:rsidRDefault="00000000">
      <w:r>
        <w:rPr>
          <w:b/>
        </w:rPr>
        <w:t>7.1 RSI Exit</w:t>
      </w:r>
    </w:p>
    <w:p w14:paraId="56E3B2B2" w14:textId="77777777" w:rsidR="00871610" w:rsidRDefault="00000000">
      <w:pPr>
        <w:pStyle w:val="Puntoelenco"/>
      </w:pPr>
      <w:r>
        <w:t xml:space="preserve">Use a 2-day Relative Strength Index, </w:t>
      </w:r>
      <w:proofErr w:type="gramStart"/>
      <w:r>
        <w:t>RSI(</w:t>
      </w:r>
      <w:proofErr w:type="gramEnd"/>
      <w:r>
        <w:t>2).</w:t>
      </w:r>
    </w:p>
    <w:p w14:paraId="784B415C" w14:textId="77777777" w:rsidR="00871610" w:rsidRDefault="00000000">
      <w:pPr>
        <w:pStyle w:val="Puntoelenco"/>
      </w:pPr>
      <w:r>
        <w:t xml:space="preserve">Generate the exit signal when </w:t>
      </w:r>
      <w:proofErr w:type="gramStart"/>
      <w:r>
        <w:t>RSI(</w:t>
      </w:r>
      <w:proofErr w:type="gramEnd"/>
      <w:r>
        <w:t>2) crosses above 50.</w:t>
      </w:r>
    </w:p>
    <w:p w14:paraId="7A17596F" w14:textId="77777777" w:rsidR="00871610" w:rsidRDefault="00000000">
      <w:pPr>
        <w:pStyle w:val="Puntoelenco"/>
      </w:pPr>
      <w:r>
        <w:t>The daily RSI value is confirmed only after the market closes.</w:t>
      </w:r>
    </w:p>
    <w:p w14:paraId="6CCEF0A1" w14:textId="77777777" w:rsidR="00871610" w:rsidRDefault="00000000">
      <w:pPr>
        <w:pStyle w:val="Puntoelenco"/>
      </w:pPr>
      <w:r>
        <w:t>Execute the exit at the next market opening.</w:t>
      </w:r>
    </w:p>
    <w:p w14:paraId="59F253B0" w14:textId="77777777" w:rsidR="00871610" w:rsidRDefault="00000000">
      <w:r>
        <w:rPr>
          <w:b/>
        </w:rPr>
        <w:t>7.2 Time Exit</w:t>
      </w:r>
    </w:p>
    <w:p w14:paraId="408162E0" w14:textId="77777777" w:rsidR="00871610" w:rsidRDefault="00000000">
      <w:pPr>
        <w:pStyle w:val="Puntoelenco"/>
      </w:pPr>
      <w:r>
        <w:t xml:space="preserve">If </w:t>
      </w:r>
      <w:proofErr w:type="gramStart"/>
      <w:r>
        <w:t>RSI(</w:t>
      </w:r>
      <w:proofErr w:type="gramEnd"/>
      <w:r>
        <w:t>2) has not crossed above 50, close the position after 10 trading days.</w:t>
      </w:r>
    </w:p>
    <w:p w14:paraId="3EBB0058" w14:textId="77777777" w:rsidR="00871610" w:rsidRDefault="00000000">
      <w:pPr>
        <w:pStyle w:val="Puntoelenco"/>
      </w:pPr>
      <w:r>
        <w:t>Ten trading days is the maximum holding period.</w:t>
      </w:r>
    </w:p>
    <w:p w14:paraId="2709090F" w14:textId="77777777" w:rsidR="00871610" w:rsidRDefault="00000000">
      <w:pPr>
        <w:pStyle w:val="Puntoelenco"/>
      </w:pPr>
      <w:r>
        <w:t>This rule acts as a time-based stop loss when the expected rebound does not occur.</w:t>
      </w:r>
    </w:p>
    <w:p w14:paraId="20AD5D2B" w14:textId="77777777" w:rsidR="00871610" w:rsidRDefault="00000000">
      <w:pPr>
        <w:pStyle w:val="Titolo1"/>
      </w:pPr>
      <w:r>
        <w:t>8. Complete Rule Sequence</w:t>
      </w:r>
    </w:p>
    <w:p w14:paraId="35DBF07F" w14:textId="77777777" w:rsidR="00871610" w:rsidRDefault="00000000">
      <w:r>
        <w:t>1. At the end of each trading day, scan the Russell 1000 universe.</w:t>
      </w:r>
    </w:p>
    <w:p w14:paraId="51A6029D" w14:textId="77777777" w:rsidR="00871610" w:rsidRDefault="00000000">
      <w:r>
        <w:t>2. Identify stocks closing above the 200-day moving average.</w:t>
      </w:r>
    </w:p>
    <w:p w14:paraId="68BF3000" w14:textId="77777777" w:rsidR="00871610" w:rsidRDefault="00000000">
      <w:r>
        <w:t>3. Among those stocks, identify stocks closing below the lower 20-day Bollinger Band set at 2.5 standard deviations.</w:t>
      </w:r>
    </w:p>
    <w:p w14:paraId="09A17095" w14:textId="77777777" w:rsidR="00871610" w:rsidRDefault="00000000">
      <w:r>
        <w:t>4. If valid candidates exceed available portfolio slots, rank them by 150-day price appreciation and select the strongest.</w:t>
      </w:r>
    </w:p>
    <w:p w14:paraId="1168ABEB" w14:textId="77777777" w:rsidR="00871610" w:rsidRDefault="00000000">
      <w:r>
        <w:t>5. For each selected candidate, place a buy limit order at 97% of the signal-day close for the next trading day.</w:t>
      </w:r>
    </w:p>
    <w:p w14:paraId="77981B27" w14:textId="1FB09EF0" w:rsidR="00871610" w:rsidRDefault="00000000">
      <w:r>
        <w:lastRenderedPageBreak/>
        <w:t xml:space="preserve">6. Allocate 20% of </w:t>
      </w:r>
      <w:r w:rsidR="00FA0353">
        <w:t xml:space="preserve">the </w:t>
      </w:r>
      <w:r w:rsidR="00FA0353" w:rsidRPr="000654B4">
        <w:t>investable</w:t>
      </w:r>
      <w:r w:rsidR="00FA0353">
        <w:t xml:space="preserve"> </w:t>
      </w:r>
      <w:r>
        <w:t>capital to each filled position, subject to a maximum of five simultaneous positions and no leverage.</w:t>
      </w:r>
    </w:p>
    <w:p w14:paraId="21569DA2" w14:textId="77777777" w:rsidR="00871610" w:rsidRDefault="00000000">
      <w:r>
        <w:t xml:space="preserve">7. After entry, monitor </w:t>
      </w:r>
      <w:proofErr w:type="gramStart"/>
      <w:r>
        <w:t>RSI(</w:t>
      </w:r>
      <w:proofErr w:type="gramEnd"/>
      <w:r>
        <w:t>2) on completed daily bars.</w:t>
      </w:r>
    </w:p>
    <w:p w14:paraId="12EA0A13" w14:textId="77777777" w:rsidR="00871610" w:rsidRDefault="00000000">
      <w:r>
        <w:t xml:space="preserve">8. Exit at the next market opening when </w:t>
      </w:r>
      <w:proofErr w:type="gramStart"/>
      <w:r>
        <w:t>RSI(</w:t>
      </w:r>
      <w:proofErr w:type="gramEnd"/>
      <w:r>
        <w:t>2) crosses above 50.</w:t>
      </w:r>
    </w:p>
    <w:p w14:paraId="3791338D" w14:textId="77777777" w:rsidR="00871610" w:rsidRDefault="00000000">
      <w:r>
        <w:t>9. If no RSI exit occurs, exit after a maximum of 10 trading days.</w:t>
      </w:r>
    </w:p>
    <w:p w14:paraId="587367FC" w14:textId="77777777" w:rsidR="00871610" w:rsidRDefault="00000000">
      <w:pPr>
        <w:pStyle w:val="Titolo1"/>
      </w:pPr>
      <w:r>
        <w:t>9. Strategy Parameters Summary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71610" w14:paraId="457E3F5A" w14:textId="77777777">
        <w:trPr>
          <w:jc w:val="center"/>
        </w:trPr>
        <w:tc>
          <w:tcPr>
            <w:tcW w:w="5040" w:type="dxa"/>
            <w:vAlign w:val="center"/>
          </w:tcPr>
          <w:p w14:paraId="5E691E7D" w14:textId="77777777" w:rsidR="00871610" w:rsidRDefault="00000000">
            <w:r>
              <w:t>Parameter</w:t>
            </w:r>
          </w:p>
        </w:tc>
        <w:tc>
          <w:tcPr>
            <w:tcW w:w="5040" w:type="dxa"/>
            <w:vAlign w:val="center"/>
          </w:tcPr>
          <w:p w14:paraId="01C3897D" w14:textId="77777777" w:rsidR="00871610" w:rsidRDefault="00000000">
            <w:r>
              <w:t>Source Rule</w:t>
            </w:r>
          </w:p>
        </w:tc>
      </w:tr>
      <w:tr w:rsidR="00871610" w14:paraId="2E54FE5B" w14:textId="77777777">
        <w:trPr>
          <w:jc w:val="center"/>
        </w:trPr>
        <w:tc>
          <w:tcPr>
            <w:tcW w:w="5040" w:type="dxa"/>
            <w:vAlign w:val="center"/>
          </w:tcPr>
          <w:p w14:paraId="1751295B" w14:textId="77777777" w:rsidR="00871610" w:rsidRDefault="00000000">
            <w:r>
              <w:t>Universe</w:t>
            </w:r>
          </w:p>
        </w:tc>
        <w:tc>
          <w:tcPr>
            <w:tcW w:w="5040" w:type="dxa"/>
            <w:vAlign w:val="center"/>
          </w:tcPr>
          <w:p w14:paraId="1FAC4162" w14:textId="77777777" w:rsidR="00871610" w:rsidRDefault="00000000">
            <w:r>
              <w:t>Russell 1000 stocks</w:t>
            </w:r>
          </w:p>
        </w:tc>
      </w:tr>
      <w:tr w:rsidR="00871610" w14:paraId="5A86A753" w14:textId="77777777">
        <w:trPr>
          <w:jc w:val="center"/>
        </w:trPr>
        <w:tc>
          <w:tcPr>
            <w:tcW w:w="5040" w:type="dxa"/>
            <w:vAlign w:val="center"/>
          </w:tcPr>
          <w:p w14:paraId="0DAEB3EA" w14:textId="77777777" w:rsidR="00871610" w:rsidRDefault="00000000">
            <w:r>
              <w:t>Timeframe</w:t>
            </w:r>
          </w:p>
        </w:tc>
        <w:tc>
          <w:tcPr>
            <w:tcW w:w="5040" w:type="dxa"/>
            <w:vAlign w:val="center"/>
          </w:tcPr>
          <w:p w14:paraId="0238DD19" w14:textId="77777777" w:rsidR="00871610" w:rsidRDefault="00000000">
            <w:r>
              <w:t>Daily</w:t>
            </w:r>
          </w:p>
        </w:tc>
      </w:tr>
      <w:tr w:rsidR="00871610" w14:paraId="31297F18" w14:textId="77777777">
        <w:trPr>
          <w:jc w:val="center"/>
        </w:trPr>
        <w:tc>
          <w:tcPr>
            <w:tcW w:w="5040" w:type="dxa"/>
            <w:vAlign w:val="center"/>
          </w:tcPr>
          <w:p w14:paraId="7ACE118A" w14:textId="77777777" w:rsidR="00871610" w:rsidRDefault="00000000">
            <w:r>
              <w:t>Position allocation</w:t>
            </w:r>
          </w:p>
        </w:tc>
        <w:tc>
          <w:tcPr>
            <w:tcW w:w="5040" w:type="dxa"/>
            <w:vAlign w:val="center"/>
          </w:tcPr>
          <w:p w14:paraId="4E83CBAD" w14:textId="5E7EAEA0" w:rsidR="00871610" w:rsidRDefault="00000000">
            <w:r>
              <w:t xml:space="preserve">20% of </w:t>
            </w:r>
            <w:r w:rsidR="00FA0353">
              <w:t xml:space="preserve">the </w:t>
            </w:r>
            <w:r w:rsidR="00FA0353" w:rsidRPr="000654B4">
              <w:t>investable</w:t>
            </w:r>
            <w:r w:rsidR="00FA0353">
              <w:t xml:space="preserve"> </w:t>
            </w:r>
            <w:r>
              <w:t>capital</w:t>
            </w:r>
          </w:p>
        </w:tc>
      </w:tr>
      <w:tr w:rsidR="00871610" w14:paraId="0A42C633" w14:textId="77777777">
        <w:trPr>
          <w:jc w:val="center"/>
        </w:trPr>
        <w:tc>
          <w:tcPr>
            <w:tcW w:w="5040" w:type="dxa"/>
            <w:vAlign w:val="center"/>
          </w:tcPr>
          <w:p w14:paraId="1FFD8DFE" w14:textId="77777777" w:rsidR="00871610" w:rsidRDefault="00000000">
            <w:r>
              <w:t>Maximum positions</w:t>
            </w:r>
          </w:p>
        </w:tc>
        <w:tc>
          <w:tcPr>
            <w:tcW w:w="5040" w:type="dxa"/>
            <w:vAlign w:val="center"/>
          </w:tcPr>
          <w:p w14:paraId="5D3D0DAE" w14:textId="77777777" w:rsidR="00871610" w:rsidRDefault="00000000">
            <w:r>
              <w:t>5</w:t>
            </w:r>
          </w:p>
        </w:tc>
      </w:tr>
      <w:tr w:rsidR="00871610" w14:paraId="1ACE08D8" w14:textId="77777777">
        <w:trPr>
          <w:jc w:val="center"/>
        </w:trPr>
        <w:tc>
          <w:tcPr>
            <w:tcW w:w="5040" w:type="dxa"/>
            <w:vAlign w:val="center"/>
          </w:tcPr>
          <w:p w14:paraId="3EBA3AEA" w14:textId="77777777" w:rsidR="00871610" w:rsidRDefault="00000000">
            <w:r>
              <w:t>Leverage</w:t>
            </w:r>
          </w:p>
        </w:tc>
        <w:tc>
          <w:tcPr>
            <w:tcW w:w="5040" w:type="dxa"/>
            <w:vAlign w:val="center"/>
          </w:tcPr>
          <w:p w14:paraId="0972F92E" w14:textId="77777777" w:rsidR="00871610" w:rsidRDefault="00000000">
            <w:r>
              <w:t>None</w:t>
            </w:r>
          </w:p>
        </w:tc>
      </w:tr>
      <w:tr w:rsidR="00871610" w14:paraId="35C6D1DA" w14:textId="77777777">
        <w:trPr>
          <w:jc w:val="center"/>
        </w:trPr>
        <w:tc>
          <w:tcPr>
            <w:tcW w:w="5040" w:type="dxa"/>
            <w:vAlign w:val="center"/>
          </w:tcPr>
          <w:p w14:paraId="6D36039C" w14:textId="77777777" w:rsidR="00871610" w:rsidRDefault="00000000">
            <w:r>
              <w:t>Trend filter</w:t>
            </w:r>
          </w:p>
        </w:tc>
        <w:tc>
          <w:tcPr>
            <w:tcW w:w="5040" w:type="dxa"/>
            <w:vAlign w:val="center"/>
          </w:tcPr>
          <w:p w14:paraId="4C3559E7" w14:textId="77777777" w:rsidR="00871610" w:rsidRDefault="00000000">
            <w:r>
              <w:t xml:space="preserve">Close above 200-day moving average; example uses </w:t>
            </w:r>
            <w:proofErr w:type="gramStart"/>
            <w:r>
              <w:t>SMA(</w:t>
            </w:r>
            <w:proofErr w:type="gramEnd"/>
            <w:r>
              <w:t>200)</w:t>
            </w:r>
          </w:p>
        </w:tc>
      </w:tr>
      <w:tr w:rsidR="00871610" w14:paraId="6F32192D" w14:textId="77777777">
        <w:trPr>
          <w:jc w:val="center"/>
        </w:trPr>
        <w:tc>
          <w:tcPr>
            <w:tcW w:w="5040" w:type="dxa"/>
            <w:vAlign w:val="center"/>
          </w:tcPr>
          <w:p w14:paraId="276D775B" w14:textId="77777777" w:rsidR="00871610" w:rsidRDefault="00000000">
            <w:r>
              <w:t>Pullback filter</w:t>
            </w:r>
          </w:p>
        </w:tc>
        <w:tc>
          <w:tcPr>
            <w:tcW w:w="5040" w:type="dxa"/>
            <w:vAlign w:val="center"/>
          </w:tcPr>
          <w:p w14:paraId="2D88ABC3" w14:textId="77777777" w:rsidR="00871610" w:rsidRDefault="00000000">
            <w:r>
              <w:t>Close below lower Bollinger Band</w:t>
            </w:r>
          </w:p>
        </w:tc>
      </w:tr>
      <w:tr w:rsidR="00871610" w14:paraId="1CEA91A4" w14:textId="77777777">
        <w:trPr>
          <w:jc w:val="center"/>
        </w:trPr>
        <w:tc>
          <w:tcPr>
            <w:tcW w:w="5040" w:type="dxa"/>
            <w:vAlign w:val="center"/>
          </w:tcPr>
          <w:p w14:paraId="6FFCBC2B" w14:textId="77777777" w:rsidR="00871610" w:rsidRDefault="00000000">
            <w:r>
              <w:t>Bollinger settings</w:t>
            </w:r>
          </w:p>
        </w:tc>
        <w:tc>
          <w:tcPr>
            <w:tcW w:w="5040" w:type="dxa"/>
            <w:vAlign w:val="center"/>
          </w:tcPr>
          <w:p w14:paraId="4DCBC252" w14:textId="77777777" w:rsidR="00871610" w:rsidRDefault="00000000">
            <w:r>
              <w:t>20 days; 2.5 standard deviations</w:t>
            </w:r>
          </w:p>
        </w:tc>
      </w:tr>
      <w:tr w:rsidR="00871610" w14:paraId="19E8F761" w14:textId="77777777">
        <w:trPr>
          <w:jc w:val="center"/>
        </w:trPr>
        <w:tc>
          <w:tcPr>
            <w:tcW w:w="5040" w:type="dxa"/>
            <w:vAlign w:val="center"/>
          </w:tcPr>
          <w:p w14:paraId="6DE20FDA" w14:textId="77777777" w:rsidR="00871610" w:rsidRDefault="00000000">
            <w:r>
              <w:t>Buy limit</w:t>
            </w:r>
          </w:p>
        </w:tc>
        <w:tc>
          <w:tcPr>
            <w:tcW w:w="5040" w:type="dxa"/>
            <w:vAlign w:val="center"/>
          </w:tcPr>
          <w:p w14:paraId="1486FEC8" w14:textId="77777777" w:rsidR="00871610" w:rsidRDefault="00000000">
            <w:r>
              <w:t>3% below signal-day close (Close × 0.97)</w:t>
            </w:r>
          </w:p>
        </w:tc>
      </w:tr>
      <w:tr w:rsidR="00871610" w14:paraId="65C87475" w14:textId="77777777">
        <w:trPr>
          <w:jc w:val="center"/>
        </w:trPr>
        <w:tc>
          <w:tcPr>
            <w:tcW w:w="5040" w:type="dxa"/>
            <w:vAlign w:val="center"/>
          </w:tcPr>
          <w:p w14:paraId="19670AF9" w14:textId="77777777" w:rsidR="00871610" w:rsidRDefault="00000000">
            <w:r>
              <w:t>Ranking trigger</w:t>
            </w:r>
          </w:p>
        </w:tc>
        <w:tc>
          <w:tcPr>
            <w:tcW w:w="5040" w:type="dxa"/>
            <w:vAlign w:val="center"/>
          </w:tcPr>
          <w:p w14:paraId="211CB7EB" w14:textId="77777777" w:rsidR="00871610" w:rsidRDefault="00000000">
            <w:r>
              <w:t>Only when candidates exceed available slots</w:t>
            </w:r>
          </w:p>
        </w:tc>
      </w:tr>
      <w:tr w:rsidR="00871610" w14:paraId="03A4D862" w14:textId="77777777">
        <w:trPr>
          <w:jc w:val="center"/>
        </w:trPr>
        <w:tc>
          <w:tcPr>
            <w:tcW w:w="5040" w:type="dxa"/>
            <w:vAlign w:val="center"/>
          </w:tcPr>
          <w:p w14:paraId="56288E49" w14:textId="77777777" w:rsidR="00871610" w:rsidRDefault="00000000">
            <w:r>
              <w:t>Ranking metric</w:t>
            </w:r>
          </w:p>
        </w:tc>
        <w:tc>
          <w:tcPr>
            <w:tcW w:w="5040" w:type="dxa"/>
            <w:vAlign w:val="center"/>
          </w:tcPr>
          <w:p w14:paraId="6CE761EE" w14:textId="77777777" w:rsidR="00871610" w:rsidRDefault="00000000">
            <w:r>
              <w:t>150-day price appreciation, highest first</w:t>
            </w:r>
          </w:p>
        </w:tc>
      </w:tr>
      <w:tr w:rsidR="00871610" w14:paraId="73F71272" w14:textId="77777777">
        <w:trPr>
          <w:jc w:val="center"/>
        </w:trPr>
        <w:tc>
          <w:tcPr>
            <w:tcW w:w="5040" w:type="dxa"/>
            <w:vAlign w:val="center"/>
          </w:tcPr>
          <w:p w14:paraId="660DD0E3" w14:textId="77777777" w:rsidR="00871610" w:rsidRDefault="00000000">
            <w:r>
              <w:t>RSI exit</w:t>
            </w:r>
          </w:p>
        </w:tc>
        <w:tc>
          <w:tcPr>
            <w:tcW w:w="5040" w:type="dxa"/>
            <w:vAlign w:val="center"/>
          </w:tcPr>
          <w:p w14:paraId="3B137187" w14:textId="77777777" w:rsidR="00871610" w:rsidRDefault="00000000">
            <w:proofErr w:type="gramStart"/>
            <w:r>
              <w:t>RSI(</w:t>
            </w:r>
            <w:proofErr w:type="gramEnd"/>
            <w:r>
              <w:t>2) crosses above 50</w:t>
            </w:r>
          </w:p>
        </w:tc>
      </w:tr>
      <w:tr w:rsidR="00871610" w14:paraId="0A56EB3F" w14:textId="77777777">
        <w:trPr>
          <w:jc w:val="center"/>
        </w:trPr>
        <w:tc>
          <w:tcPr>
            <w:tcW w:w="5040" w:type="dxa"/>
            <w:vAlign w:val="center"/>
          </w:tcPr>
          <w:p w14:paraId="688B876A" w14:textId="77777777" w:rsidR="00871610" w:rsidRDefault="00000000">
            <w:r>
              <w:t>Exit timing</w:t>
            </w:r>
          </w:p>
        </w:tc>
        <w:tc>
          <w:tcPr>
            <w:tcW w:w="5040" w:type="dxa"/>
            <w:vAlign w:val="center"/>
          </w:tcPr>
          <w:p w14:paraId="4BD6CBD8" w14:textId="77777777" w:rsidR="00871610" w:rsidRDefault="00000000">
            <w:r>
              <w:t>Next market opening after confirmed RSI signal</w:t>
            </w:r>
          </w:p>
        </w:tc>
      </w:tr>
      <w:tr w:rsidR="00871610" w14:paraId="7234577F" w14:textId="77777777">
        <w:trPr>
          <w:jc w:val="center"/>
        </w:trPr>
        <w:tc>
          <w:tcPr>
            <w:tcW w:w="5040" w:type="dxa"/>
            <w:vAlign w:val="center"/>
          </w:tcPr>
          <w:p w14:paraId="438B9831" w14:textId="77777777" w:rsidR="00871610" w:rsidRDefault="00000000">
            <w:r>
              <w:t>Time exit</w:t>
            </w:r>
          </w:p>
        </w:tc>
        <w:tc>
          <w:tcPr>
            <w:tcW w:w="5040" w:type="dxa"/>
            <w:vAlign w:val="center"/>
          </w:tcPr>
          <w:p w14:paraId="5D5A7481" w14:textId="77777777" w:rsidR="00871610" w:rsidRDefault="00000000">
            <w:r>
              <w:t>After 10 trading days; maximum holding period</w:t>
            </w:r>
          </w:p>
        </w:tc>
      </w:tr>
    </w:tbl>
    <w:p w14:paraId="6716A335" w14:textId="46E1B9D7" w:rsidR="00871610" w:rsidRDefault="00871610" w:rsidP="00D64F2F">
      <w:pPr>
        <w:pStyle w:val="Titolo1"/>
      </w:pPr>
    </w:p>
    <w:sectPr w:rsidR="00871610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0D3" w14:textId="77777777" w:rsidR="00155ECA" w:rsidRDefault="00155ECA">
      <w:pPr>
        <w:spacing w:after="0" w:line="240" w:lineRule="auto"/>
      </w:pPr>
      <w:r>
        <w:separator/>
      </w:r>
    </w:p>
  </w:endnote>
  <w:endnote w:type="continuationSeparator" w:id="0">
    <w:p w14:paraId="7BB0A781" w14:textId="77777777" w:rsidR="00155ECA" w:rsidRDefault="00155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CECC" w14:textId="1B4CE255" w:rsidR="00871610" w:rsidRDefault="00000000">
    <w:pPr>
      <w:pStyle w:val="Pidipagina"/>
      <w:jc w:val="center"/>
    </w:pPr>
    <w:r>
      <w:t>TradingbotR1000 Strategy Specification - Final v1.</w:t>
    </w:r>
    <w:r w:rsidR="003A49A3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F230D" w14:textId="77777777" w:rsidR="00155ECA" w:rsidRDefault="00155ECA">
      <w:pPr>
        <w:spacing w:after="0" w:line="240" w:lineRule="auto"/>
      </w:pPr>
      <w:r>
        <w:separator/>
      </w:r>
    </w:p>
  </w:footnote>
  <w:footnote w:type="continuationSeparator" w:id="0">
    <w:p w14:paraId="4FDEAF38" w14:textId="77777777" w:rsidR="00155ECA" w:rsidRDefault="00155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113173">
    <w:abstractNumId w:val="8"/>
  </w:num>
  <w:num w:numId="2" w16cid:durableId="245458942">
    <w:abstractNumId w:val="6"/>
  </w:num>
  <w:num w:numId="3" w16cid:durableId="1711150154">
    <w:abstractNumId w:val="5"/>
  </w:num>
  <w:num w:numId="4" w16cid:durableId="181015099">
    <w:abstractNumId w:val="4"/>
  </w:num>
  <w:num w:numId="5" w16cid:durableId="137578290">
    <w:abstractNumId w:val="7"/>
  </w:num>
  <w:num w:numId="6" w16cid:durableId="1120882163">
    <w:abstractNumId w:val="3"/>
  </w:num>
  <w:num w:numId="7" w16cid:durableId="1749885787">
    <w:abstractNumId w:val="2"/>
  </w:num>
  <w:num w:numId="8" w16cid:durableId="1257982391">
    <w:abstractNumId w:val="1"/>
  </w:num>
  <w:num w:numId="9" w16cid:durableId="203542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4B4"/>
    <w:rsid w:val="00120EA2"/>
    <w:rsid w:val="0015074B"/>
    <w:rsid w:val="00155ECA"/>
    <w:rsid w:val="0029639D"/>
    <w:rsid w:val="00326F90"/>
    <w:rsid w:val="003A49A3"/>
    <w:rsid w:val="003D0DBC"/>
    <w:rsid w:val="007478C9"/>
    <w:rsid w:val="00871610"/>
    <w:rsid w:val="00A55A6B"/>
    <w:rsid w:val="00AA1D8D"/>
    <w:rsid w:val="00B47730"/>
    <w:rsid w:val="00C55CCE"/>
    <w:rsid w:val="00CB0664"/>
    <w:rsid w:val="00D64F2F"/>
    <w:rsid w:val="00DE655B"/>
    <w:rsid w:val="00EB2A40"/>
    <w:rsid w:val="00FA03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E9A16"/>
  <w14:defaultImageDpi w14:val="300"/>
  <w15:docId w15:val="{EE12B3A3-9D44-48AB-B10F-496050E2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eastAsia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686</Words>
  <Characters>3916</Characters>
  <Application>Microsoft Office Word</Application>
  <DocSecurity>0</DocSecurity>
  <Lines>32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Alfonsi</cp:lastModifiedBy>
  <cp:revision>7</cp:revision>
  <dcterms:created xsi:type="dcterms:W3CDTF">2026-07-21T17:12:00Z</dcterms:created>
  <dcterms:modified xsi:type="dcterms:W3CDTF">2026-07-21T17:18:00Z</dcterms:modified>
  <cp:category/>
</cp:coreProperties>
</file>