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pPr w:leftFromText="180" w:rightFromText="180" w:horzAnchor="margin" w:tblpY="-636"/>
        <w:tblW w:w="9180" w:type="dxa"/>
        <w:tblBorders>
          <w:top w:val="none" w:sz="0" w:space="0" w:color="auto"/>
          <w:bottom w:val="none" w:sz="0" w:space="0" w:color="auto"/>
        </w:tblBorders>
        <w:tblLook w:val="04A0" w:firstRow="1" w:lastRow="0" w:firstColumn="1" w:lastColumn="0" w:noHBand="0" w:noVBand="1"/>
      </w:tblPr>
      <w:tblGrid>
        <w:gridCol w:w="2826"/>
        <w:gridCol w:w="6354"/>
      </w:tblGrid>
      <w:tr w:rsidR="004D7C96" w:rsidRPr="004B23F4" w14:paraId="698D34B5" w14:textId="77777777" w:rsidTr="0006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Borders>
              <w:bottom w:val="none" w:sz="0" w:space="0" w:color="auto"/>
            </w:tcBorders>
          </w:tcPr>
          <w:p w14:paraId="3ADCDE1B" w14:textId="77777777" w:rsidR="004D7C96" w:rsidRDefault="004D7C96" w:rsidP="00064E5E">
            <w:pPr>
              <w:pStyle w:val="GHSC"/>
            </w:pPr>
            <w:r w:rsidRPr="00A65E18">
              <w:rPr>
                <w:noProof/>
              </w:rPr>
              <w:drawing>
                <wp:inline distT="0" distB="0" distL="0" distR="0" wp14:anchorId="5F06EFDD" wp14:editId="282CDD69">
                  <wp:extent cx="1657350" cy="497205"/>
                  <wp:effectExtent l="0" t="0" r="0" b="0"/>
                  <wp:docPr id="23" name="Picture 23" descr="USA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AIDletter.png"/>
                          <pic:cNvPicPr/>
                        </pic:nvPicPr>
                        <pic:blipFill>
                          <a:blip r:embed="rId11">
                            <a:extLst>
                              <a:ext uri="{28A0092B-C50C-407E-A947-70E740481C1C}">
                                <a14:useLocalDpi xmlns:a14="http://schemas.microsoft.com/office/drawing/2010/main" val="0"/>
                              </a:ext>
                            </a:extLst>
                          </a:blip>
                          <a:stretch>
                            <a:fillRect/>
                          </a:stretch>
                        </pic:blipFill>
                        <pic:spPr>
                          <a:xfrm>
                            <a:off x="0" y="0"/>
                            <a:ext cx="1658350" cy="497505"/>
                          </a:xfrm>
                          <a:prstGeom prst="rect">
                            <a:avLst/>
                          </a:prstGeom>
                        </pic:spPr>
                      </pic:pic>
                    </a:graphicData>
                  </a:graphic>
                </wp:inline>
              </w:drawing>
            </w:r>
          </w:p>
        </w:tc>
        <w:tc>
          <w:tcPr>
            <w:tcW w:w="6354" w:type="dxa"/>
            <w:tcBorders>
              <w:bottom w:val="none" w:sz="0" w:space="0" w:color="auto"/>
            </w:tcBorders>
          </w:tcPr>
          <w:p w14:paraId="46418341" w14:textId="77777777" w:rsidR="00064E5E" w:rsidRDefault="00064E5E" w:rsidP="00064E5E">
            <w:pPr>
              <w:pStyle w:val="GHSC"/>
              <w:jc w:val="right"/>
              <w:cnfStyle w:val="100000000000" w:firstRow="1" w:lastRow="0" w:firstColumn="0" w:lastColumn="0" w:oddVBand="0" w:evenVBand="0" w:oddHBand="0" w:evenHBand="0" w:firstRowFirstColumn="0" w:firstRowLastColumn="0" w:lastRowFirstColumn="0" w:lastRowLastColumn="0"/>
              <w:rPr>
                <w:bCs/>
              </w:rPr>
            </w:pPr>
          </w:p>
          <w:p w14:paraId="5A553F76" w14:textId="77777777" w:rsidR="00064E5E" w:rsidRDefault="00064E5E" w:rsidP="00064E5E">
            <w:pPr>
              <w:pStyle w:val="GHSC"/>
              <w:jc w:val="right"/>
              <w:cnfStyle w:val="100000000000" w:firstRow="1" w:lastRow="0" w:firstColumn="0" w:lastColumn="0" w:oddVBand="0" w:evenVBand="0" w:oddHBand="0" w:evenHBand="0" w:firstRowFirstColumn="0" w:firstRowLastColumn="0" w:lastRowFirstColumn="0" w:lastRowLastColumn="0"/>
              <w:rPr>
                <w:bCs/>
              </w:rPr>
            </w:pPr>
          </w:p>
          <w:p w14:paraId="13706C75" w14:textId="77777777" w:rsidR="00064E5E" w:rsidRDefault="00064E5E" w:rsidP="00064E5E">
            <w:pPr>
              <w:pStyle w:val="GHSC"/>
              <w:jc w:val="right"/>
              <w:cnfStyle w:val="100000000000" w:firstRow="1" w:lastRow="0" w:firstColumn="0" w:lastColumn="0" w:oddVBand="0" w:evenVBand="0" w:oddHBand="0" w:evenHBand="0" w:firstRowFirstColumn="0" w:firstRowLastColumn="0" w:lastRowFirstColumn="0" w:lastRowLastColumn="0"/>
              <w:rPr>
                <w:bCs/>
              </w:rPr>
            </w:pPr>
          </w:p>
          <w:p w14:paraId="5AFD8F22" w14:textId="77777777" w:rsidR="00064E5E" w:rsidRDefault="00064E5E" w:rsidP="00064E5E">
            <w:pPr>
              <w:pStyle w:val="GHSC"/>
              <w:jc w:val="right"/>
              <w:cnfStyle w:val="100000000000" w:firstRow="1" w:lastRow="0" w:firstColumn="0" w:lastColumn="0" w:oddVBand="0" w:evenVBand="0" w:oddHBand="0" w:evenHBand="0" w:firstRowFirstColumn="0" w:firstRowLastColumn="0" w:lastRowFirstColumn="0" w:lastRowLastColumn="0"/>
              <w:rPr>
                <w:bCs/>
              </w:rPr>
            </w:pPr>
          </w:p>
          <w:p w14:paraId="4C68E1E5" w14:textId="77777777" w:rsidR="00064E5E" w:rsidRDefault="00064E5E" w:rsidP="00064E5E">
            <w:pPr>
              <w:pStyle w:val="GHSC"/>
              <w:jc w:val="right"/>
              <w:cnfStyle w:val="100000000000" w:firstRow="1" w:lastRow="0" w:firstColumn="0" w:lastColumn="0" w:oddVBand="0" w:evenVBand="0" w:oddHBand="0" w:evenHBand="0" w:firstRowFirstColumn="0" w:firstRowLastColumn="0" w:lastRowFirstColumn="0" w:lastRowLastColumn="0"/>
              <w:rPr>
                <w:bCs/>
              </w:rPr>
            </w:pPr>
          </w:p>
          <w:p w14:paraId="6EAEE029" w14:textId="77777777" w:rsidR="004D7C96" w:rsidRPr="004B23F4" w:rsidRDefault="004D7C96" w:rsidP="00064E5E">
            <w:pPr>
              <w:pStyle w:val="GHSC"/>
              <w:jc w:val="right"/>
              <w:cnfStyle w:val="100000000000" w:firstRow="1" w:lastRow="0" w:firstColumn="0" w:lastColumn="0" w:oddVBand="0" w:evenVBand="0" w:oddHBand="0" w:evenHBand="0" w:firstRowFirstColumn="0" w:firstRowLastColumn="0" w:lastRowFirstColumn="0" w:lastRowLastColumn="0"/>
              <w:rPr>
                <w:b w:val="0"/>
              </w:rPr>
            </w:pPr>
            <w:r w:rsidRPr="004B23F4">
              <w:rPr>
                <w:b w:val="0"/>
              </w:rPr>
              <w:t xml:space="preserve">USAID GLOBAL HEALTH SUPPLY CHAIN PROGRAM  </w:t>
            </w:r>
          </w:p>
          <w:p w14:paraId="45DA7A28" w14:textId="77777777" w:rsidR="004D7C96" w:rsidRPr="00B0212E" w:rsidRDefault="004D7C96" w:rsidP="00064E5E">
            <w:pPr>
              <w:pStyle w:val="BodyCopyAfterBullets"/>
              <w:spacing w:before="0" w:after="0"/>
              <w:jc w:val="right"/>
              <w:cnfStyle w:val="100000000000" w:firstRow="1" w:lastRow="0" w:firstColumn="0" w:lastColumn="0" w:oddVBand="0" w:evenVBand="0" w:oddHBand="0" w:evenHBand="0" w:firstRowFirstColumn="0" w:firstRowLastColumn="0" w:lastRowFirstColumn="0" w:lastRowLastColumn="0"/>
              <w:rPr>
                <w:b w:val="0"/>
                <w:bCs w:val="0"/>
                <w:sz w:val="24"/>
              </w:rPr>
            </w:pPr>
            <w:r w:rsidRPr="004B23F4">
              <w:rPr>
                <w:b w:val="0"/>
                <w:sz w:val="24"/>
              </w:rPr>
              <w:t>Procurement and Supply Management</w:t>
            </w:r>
          </w:p>
        </w:tc>
      </w:tr>
    </w:tbl>
    <w:sdt>
      <w:sdtPr>
        <w:rPr>
          <w:sz w:val="22"/>
        </w:rPr>
        <w:id w:val="-1383006117"/>
        <w:docPartObj>
          <w:docPartGallery w:val="Cover Pages"/>
          <w:docPartUnique/>
        </w:docPartObj>
      </w:sdtPr>
      <w:sdtEndPr/>
      <w:sdtContent>
        <w:p w14:paraId="692BFE56" w14:textId="77777777" w:rsidR="00365E95" w:rsidRPr="009416DC" w:rsidRDefault="00365E95" w:rsidP="0023270F">
          <w:pPr>
            <w:pStyle w:val="PSMTextBasicCover"/>
            <w:jc w:val="right"/>
          </w:pPr>
        </w:p>
        <w:tbl>
          <w:tblPr>
            <w:tblStyle w:val="TableGrid"/>
            <w:tblW w:w="0" w:type="auto"/>
            <w:tblBorders>
              <w:top w:val="none" w:sz="0" w:space="0" w:color="auto"/>
              <w:left w:val="single" w:sz="48" w:space="0" w:color="BA0C2F"/>
              <w:bottom w:val="none" w:sz="0" w:space="0" w:color="auto"/>
              <w:right w:val="none" w:sz="0" w:space="0" w:color="auto"/>
              <w:insideH w:val="none" w:sz="0" w:space="0" w:color="auto"/>
              <w:insideV w:val="none" w:sz="0" w:space="0" w:color="auto"/>
            </w:tblBorders>
            <w:tblCellMar>
              <w:left w:w="288" w:type="dxa"/>
              <w:right w:w="115" w:type="dxa"/>
            </w:tblCellMar>
            <w:tblLook w:val="04A0" w:firstRow="1" w:lastRow="0" w:firstColumn="1" w:lastColumn="0" w:noHBand="0" w:noVBand="1"/>
          </w:tblPr>
          <w:tblGrid>
            <w:gridCol w:w="8969"/>
          </w:tblGrid>
          <w:tr w:rsidR="00365E95" w14:paraId="32DC040B" w14:textId="77777777">
            <w:tc>
              <w:tcPr>
                <w:tcW w:w="9300" w:type="dxa"/>
              </w:tcPr>
              <w:p w14:paraId="57C90960" w14:textId="4C1F736D" w:rsidR="00365E95" w:rsidRPr="006E505B" w:rsidRDefault="00AA7970" w:rsidP="00D1681C">
                <w:pPr>
                  <w:pStyle w:val="CoverReportTitle"/>
                  <w:spacing w:before="240"/>
                  <w:rPr>
                    <w:sz w:val="48"/>
                    <w:szCs w:val="48"/>
                  </w:rPr>
                </w:pPr>
                <w:r>
                  <w:rPr>
                    <w:sz w:val="48"/>
                    <w:szCs w:val="48"/>
                  </w:rPr>
                  <w:fldChar w:fldCharType="begin">
                    <w:ffData>
                      <w:name w:val=""/>
                      <w:enabled/>
                      <w:calcOnExit w:val="0"/>
                      <w:textInput>
                        <w:default w:val="CONSUMPTION ANOMALIES TOOL"/>
                        <w:format w:val="UPPERCASE"/>
                      </w:textInput>
                    </w:ffData>
                  </w:fldChar>
                </w:r>
                <w:r>
                  <w:rPr>
                    <w:sz w:val="48"/>
                    <w:szCs w:val="48"/>
                  </w:rPr>
                  <w:instrText xml:space="preserve"> FORMTEXT </w:instrText>
                </w:r>
                <w:r>
                  <w:rPr>
                    <w:sz w:val="48"/>
                    <w:szCs w:val="48"/>
                  </w:rPr>
                </w:r>
                <w:r>
                  <w:rPr>
                    <w:sz w:val="48"/>
                    <w:szCs w:val="48"/>
                  </w:rPr>
                  <w:fldChar w:fldCharType="separate"/>
                </w:r>
                <w:r>
                  <w:rPr>
                    <w:noProof/>
                    <w:sz w:val="48"/>
                    <w:szCs w:val="48"/>
                  </w:rPr>
                  <w:t>CONSUMPTION ANOMALIES TOOL</w:t>
                </w:r>
                <w:r>
                  <w:rPr>
                    <w:sz w:val="48"/>
                    <w:szCs w:val="48"/>
                  </w:rPr>
                  <w:fldChar w:fldCharType="end"/>
                </w:r>
              </w:p>
              <w:p w14:paraId="56798370" w14:textId="5AF96C99" w:rsidR="00365E95" w:rsidRDefault="00AA7970" w:rsidP="00365E95">
                <w:pPr>
                  <w:pStyle w:val="CoverReportSubtitle"/>
                </w:pPr>
                <w:r>
                  <w:fldChar w:fldCharType="begin">
                    <w:ffData>
                      <w:name w:val=""/>
                      <w:enabled/>
                      <w:calcOnExit w:val="0"/>
                      <w:textInput>
                        <w:default w:val="User Guide"/>
                        <w:format w:val="TITLE CASE"/>
                      </w:textInput>
                    </w:ffData>
                  </w:fldChar>
                </w:r>
                <w:r>
                  <w:instrText xml:space="preserve"> FORMTEXT </w:instrText>
                </w:r>
                <w:r>
                  <w:fldChar w:fldCharType="separate"/>
                </w:r>
                <w:r>
                  <w:rPr>
                    <w:noProof/>
                  </w:rPr>
                  <w:t>User Guide</w:t>
                </w:r>
                <w:r>
                  <w:fldChar w:fldCharType="end"/>
                </w:r>
              </w:p>
              <w:p w14:paraId="0EB4382E" w14:textId="00A20BD6" w:rsidR="00365E95" w:rsidRPr="00E11DD6" w:rsidRDefault="00AA7970" w:rsidP="00D1681C">
                <w:pPr>
                  <w:pStyle w:val="CoverDate"/>
                  <w:spacing w:after="240"/>
                </w:pPr>
                <w:r>
                  <w:fldChar w:fldCharType="begin">
                    <w:ffData>
                      <w:name w:val=""/>
                      <w:enabled/>
                      <w:calcOnExit w:val="0"/>
                      <w:textInput>
                        <w:default w:val="2022"/>
                        <w:format w:val="UPPERCASE"/>
                      </w:textInput>
                    </w:ffData>
                  </w:fldChar>
                </w:r>
                <w:r>
                  <w:instrText xml:space="preserve"> FORMTEXT </w:instrText>
                </w:r>
                <w:r>
                  <w:fldChar w:fldCharType="separate"/>
                </w:r>
                <w:r>
                  <w:rPr>
                    <w:noProof/>
                  </w:rPr>
                  <w:t>2022</w:t>
                </w:r>
                <w:r>
                  <w:fldChar w:fldCharType="end"/>
                </w:r>
              </w:p>
            </w:tc>
          </w:tr>
        </w:tbl>
        <w:p w14:paraId="3D93F0D7" w14:textId="77777777" w:rsidR="00365E95" w:rsidRDefault="00400413" w:rsidP="00365E95">
          <w:pPr>
            <w:pStyle w:val="BodyCopy"/>
            <w:rPr>
              <w:rFonts w:cs="GillSansMT-Bold"/>
              <w:sz w:val="28"/>
            </w:rPr>
          </w:pPr>
        </w:p>
      </w:sdtContent>
    </w:sdt>
    <w:p w14:paraId="6F8B2F96" w14:textId="77777777" w:rsidR="00FC1E58" w:rsidRDefault="00FC1E58" w:rsidP="00F04AB4">
      <w:pPr>
        <w:pStyle w:val="BodyCopy"/>
        <w:sectPr w:rsidR="00FC1E58" w:rsidSect="001558E0">
          <w:pgSz w:w="11909" w:h="16834" w:code="9"/>
          <w:pgMar w:top="1440" w:right="1440" w:bottom="1440" w:left="1440" w:header="720" w:footer="720" w:gutter="0"/>
          <w:pgNumType w:start="0"/>
          <w:cols w:space="720"/>
          <w:titlePg/>
          <w:docGrid w:linePitch="360"/>
        </w:sectPr>
      </w:pPr>
    </w:p>
    <w:p w14:paraId="49AD7245" w14:textId="77777777" w:rsidR="00FC1E58" w:rsidRPr="004D7C96" w:rsidRDefault="00FC1E58" w:rsidP="00467D6E">
      <w:pPr>
        <w:pStyle w:val="Disclaimer"/>
        <w:rPr>
          <w:color w:val="6C6463" w:themeColor="accent4"/>
        </w:rPr>
      </w:pPr>
      <w:r w:rsidRPr="004D7C96">
        <w:rPr>
          <w:color w:val="6C6463" w:themeColor="accent4"/>
        </w:rPr>
        <w:lastRenderedPageBreak/>
        <w:t>The USAID Global Health Supply Chain Program-Procurement and Supply Management (GHSC-PSM) project is funded under USAID Contract No. AID-OAA-I-15-0004.  GHSC-PSM connects technical solutions and proven commercial processes to promote efficient and cost-effective health supply chains worldwide. Our goal is to ensure uninterrupted supplies of health commodities to save lives and create a healthier future for all. The project purchases and delivers health commodities, offers comprehensive technical assistance to strengthen national supply chain systems, and provides global supply chain leadership.</w:t>
      </w:r>
    </w:p>
    <w:p w14:paraId="1E05A6BF" w14:textId="77777777" w:rsidR="00FC1E58" w:rsidRPr="004D7C96" w:rsidRDefault="00FC1E58" w:rsidP="00467D6E">
      <w:pPr>
        <w:pStyle w:val="Disclaimer"/>
        <w:rPr>
          <w:color w:val="6C6463" w:themeColor="accent4"/>
        </w:rPr>
      </w:pPr>
      <w:r w:rsidRPr="004D7C96">
        <w:rPr>
          <w:color w:val="6C6463" w:themeColor="accent4"/>
        </w:rPr>
        <w:t>GHSC-PSM is implemented by Chemonics International, in collaboration with Arbola Inc., Axios International Inc., IDA Foundation, IBM, IntraHealth International, Kuehne + Nagel Inc., McKinsey &amp; Company, Panagora Group, Population Services International, SGS Nederland B.V., and University Research Co., LLC. To learn more, visit </w:t>
      </w:r>
      <w:hyperlink r:id="rId12" w:tgtFrame="_blank" w:history="1">
        <w:r w:rsidRPr="004D7C96">
          <w:rPr>
            <w:rStyle w:val="Hyperlink"/>
            <w:rFonts w:cs="Arial"/>
            <w:color w:val="6C6463" w:themeColor="accent4"/>
          </w:rPr>
          <w:t>ghsupplychain.org</w:t>
        </w:r>
      </w:hyperlink>
    </w:p>
    <w:p w14:paraId="59DAB385" w14:textId="77777777" w:rsidR="009713DD" w:rsidRPr="004D7C96" w:rsidRDefault="00FC1E58" w:rsidP="009713DD">
      <w:pPr>
        <w:pStyle w:val="Disclaimer"/>
        <w:rPr>
          <w:color w:val="6C6463" w:themeColor="accent4"/>
        </w:rPr>
      </w:pPr>
      <w:r w:rsidRPr="004D7C96">
        <w:rPr>
          <w:rStyle w:val="ExhibitTitle"/>
          <w:rFonts w:ascii="Gill Sans Std Light" w:hAnsi="Gill Sans Std Light"/>
          <w:color w:val="6C6463" w:themeColor="accent4"/>
        </w:rPr>
        <w:t>DISCLAIMER</w:t>
      </w:r>
      <w:r w:rsidRPr="004D7C96">
        <w:rPr>
          <w:color w:val="6C6463" w:themeColor="accent4"/>
        </w:rPr>
        <w:t>:</w:t>
      </w:r>
      <w:r w:rsidR="00467D6E" w:rsidRPr="004D7C96">
        <w:rPr>
          <w:color w:val="6C6463" w:themeColor="accent4"/>
        </w:rPr>
        <w:br/>
      </w:r>
      <w:r w:rsidRPr="004D7C96">
        <w:rPr>
          <w:color w:val="6C6463" w:themeColor="accent4"/>
        </w:rPr>
        <w:t>The views expressed in this publication do not necessarily reflect the views of the U.S. Agency for International Development or the U.S. government.</w:t>
      </w:r>
    </w:p>
    <w:p w14:paraId="3625CFC1" w14:textId="77777777" w:rsidR="00FC1E58" w:rsidRDefault="00FC1E58" w:rsidP="00FC1E58">
      <w:pPr>
        <w:sectPr w:rsidR="00FC1E58" w:rsidSect="001558E0">
          <w:footerReference w:type="default" r:id="rId13"/>
          <w:footerReference w:type="first" r:id="rId14"/>
          <w:pgSz w:w="11909" w:h="16834" w:code="9"/>
          <w:pgMar w:top="1440" w:right="1440" w:bottom="1440" w:left="1440" w:header="720" w:footer="720" w:gutter="0"/>
          <w:cols w:space="720"/>
          <w:vAlign w:val="bottom"/>
          <w:docGrid w:linePitch="360"/>
        </w:sectPr>
      </w:pPr>
    </w:p>
    <w:p w14:paraId="63A0022B" w14:textId="77777777" w:rsidR="00FC1E58" w:rsidRDefault="00FC1E58" w:rsidP="00FF49CB">
      <w:pPr>
        <w:pStyle w:val="Head1NoTOC"/>
      </w:pPr>
      <w:bookmarkStart w:id="0" w:name="_Toc119057745"/>
      <w:r>
        <w:lastRenderedPageBreak/>
        <w:t>Contents</w:t>
      </w:r>
      <w:bookmarkEnd w:id="0"/>
    </w:p>
    <w:p w14:paraId="2C0EFC39" w14:textId="23297D1C" w:rsidR="00CE613B" w:rsidRDefault="002070CE">
      <w:pPr>
        <w:pStyle w:val="TOC1"/>
        <w:rPr>
          <w:rFonts w:asciiTheme="minorHAnsi" w:eastAsiaTheme="minorEastAsia" w:hAnsiTheme="minorHAnsi"/>
          <w:b w:val="0"/>
          <w:color w:val="auto"/>
          <w:sz w:val="24"/>
          <w:szCs w:val="24"/>
        </w:rPr>
      </w:pPr>
      <w:r>
        <w:rPr>
          <w:b w:val="0"/>
        </w:rPr>
        <w:fldChar w:fldCharType="begin"/>
      </w:r>
      <w:r>
        <w:rPr>
          <w:b w:val="0"/>
        </w:rPr>
        <w:instrText xml:space="preserve"> TOC \o "1-2" \h \z \u </w:instrText>
      </w:r>
      <w:r>
        <w:rPr>
          <w:b w:val="0"/>
        </w:rPr>
        <w:fldChar w:fldCharType="separate"/>
      </w:r>
      <w:hyperlink w:anchor="_Toc119057745" w:history="1">
        <w:r w:rsidR="00CE613B" w:rsidRPr="005A1950">
          <w:rPr>
            <w:rStyle w:val="Hyperlink"/>
          </w:rPr>
          <w:t>Contents</w:t>
        </w:r>
        <w:r w:rsidR="00CE613B">
          <w:rPr>
            <w:webHidden/>
          </w:rPr>
          <w:tab/>
        </w:r>
        <w:r w:rsidR="00CE613B">
          <w:rPr>
            <w:webHidden/>
          </w:rPr>
          <w:fldChar w:fldCharType="begin"/>
        </w:r>
        <w:r w:rsidR="00CE613B">
          <w:rPr>
            <w:webHidden/>
          </w:rPr>
          <w:instrText xml:space="preserve"> PAGEREF _Toc119057745 \h </w:instrText>
        </w:r>
        <w:r w:rsidR="00CE613B">
          <w:rPr>
            <w:webHidden/>
          </w:rPr>
        </w:r>
        <w:r w:rsidR="00CE613B">
          <w:rPr>
            <w:webHidden/>
          </w:rPr>
          <w:fldChar w:fldCharType="separate"/>
        </w:r>
        <w:r w:rsidR="00CE613B">
          <w:rPr>
            <w:webHidden/>
          </w:rPr>
          <w:t>1</w:t>
        </w:r>
        <w:r w:rsidR="00CE613B">
          <w:rPr>
            <w:webHidden/>
          </w:rPr>
          <w:fldChar w:fldCharType="end"/>
        </w:r>
      </w:hyperlink>
    </w:p>
    <w:p w14:paraId="55EEDEDD" w14:textId="559B17A3" w:rsidR="00CE613B" w:rsidRDefault="00400413">
      <w:pPr>
        <w:pStyle w:val="TOC1"/>
        <w:rPr>
          <w:rFonts w:asciiTheme="minorHAnsi" w:eastAsiaTheme="minorEastAsia" w:hAnsiTheme="minorHAnsi"/>
          <w:b w:val="0"/>
          <w:color w:val="auto"/>
          <w:sz w:val="24"/>
          <w:szCs w:val="24"/>
        </w:rPr>
      </w:pPr>
      <w:hyperlink w:anchor="_Toc119057746" w:history="1">
        <w:r w:rsidR="00CE613B" w:rsidRPr="005A1950">
          <w:rPr>
            <w:rStyle w:val="Hyperlink"/>
          </w:rPr>
          <w:t>Acronyms</w:t>
        </w:r>
        <w:r w:rsidR="00CE613B">
          <w:rPr>
            <w:webHidden/>
          </w:rPr>
          <w:tab/>
        </w:r>
        <w:r w:rsidR="00CE613B">
          <w:rPr>
            <w:webHidden/>
          </w:rPr>
          <w:fldChar w:fldCharType="begin"/>
        </w:r>
        <w:r w:rsidR="00CE613B">
          <w:rPr>
            <w:webHidden/>
          </w:rPr>
          <w:instrText xml:space="preserve"> PAGEREF _Toc119057746 \h </w:instrText>
        </w:r>
        <w:r w:rsidR="00CE613B">
          <w:rPr>
            <w:webHidden/>
          </w:rPr>
        </w:r>
        <w:r w:rsidR="00CE613B">
          <w:rPr>
            <w:webHidden/>
          </w:rPr>
          <w:fldChar w:fldCharType="separate"/>
        </w:r>
        <w:r w:rsidR="00CE613B">
          <w:rPr>
            <w:webHidden/>
          </w:rPr>
          <w:t>2</w:t>
        </w:r>
        <w:r w:rsidR="00CE613B">
          <w:rPr>
            <w:webHidden/>
          </w:rPr>
          <w:fldChar w:fldCharType="end"/>
        </w:r>
      </w:hyperlink>
    </w:p>
    <w:p w14:paraId="47E89B0D" w14:textId="698805C9" w:rsidR="00CE613B" w:rsidRDefault="00400413">
      <w:pPr>
        <w:pStyle w:val="TOC1"/>
        <w:rPr>
          <w:rFonts w:asciiTheme="minorHAnsi" w:eastAsiaTheme="minorEastAsia" w:hAnsiTheme="minorHAnsi"/>
          <w:b w:val="0"/>
          <w:color w:val="auto"/>
          <w:sz w:val="24"/>
          <w:szCs w:val="24"/>
        </w:rPr>
      </w:pPr>
      <w:hyperlink w:anchor="_Toc119057747" w:history="1">
        <w:r w:rsidR="00CE613B" w:rsidRPr="005A1950">
          <w:rPr>
            <w:rStyle w:val="Hyperlink"/>
          </w:rPr>
          <w:t>Consumption Anomalies Tool User Guide</w:t>
        </w:r>
        <w:r w:rsidR="00CE613B">
          <w:rPr>
            <w:webHidden/>
          </w:rPr>
          <w:tab/>
        </w:r>
        <w:r w:rsidR="00CE613B">
          <w:rPr>
            <w:webHidden/>
          </w:rPr>
          <w:fldChar w:fldCharType="begin"/>
        </w:r>
        <w:r w:rsidR="00CE613B">
          <w:rPr>
            <w:webHidden/>
          </w:rPr>
          <w:instrText xml:space="preserve"> PAGEREF _Toc119057747 \h </w:instrText>
        </w:r>
        <w:r w:rsidR="00CE613B">
          <w:rPr>
            <w:webHidden/>
          </w:rPr>
        </w:r>
        <w:r w:rsidR="00CE613B">
          <w:rPr>
            <w:webHidden/>
          </w:rPr>
          <w:fldChar w:fldCharType="separate"/>
        </w:r>
        <w:r w:rsidR="00CE613B">
          <w:rPr>
            <w:webHidden/>
          </w:rPr>
          <w:t>3</w:t>
        </w:r>
        <w:r w:rsidR="00CE613B">
          <w:rPr>
            <w:webHidden/>
          </w:rPr>
          <w:fldChar w:fldCharType="end"/>
        </w:r>
      </w:hyperlink>
    </w:p>
    <w:p w14:paraId="41912899" w14:textId="1F419812" w:rsidR="00CE613B" w:rsidRDefault="00400413">
      <w:pPr>
        <w:pStyle w:val="TOC2"/>
        <w:rPr>
          <w:rFonts w:asciiTheme="minorHAnsi" w:eastAsiaTheme="minorEastAsia" w:hAnsiTheme="minorHAnsi"/>
          <w:color w:val="auto"/>
          <w:sz w:val="24"/>
          <w:szCs w:val="24"/>
        </w:rPr>
      </w:pPr>
      <w:hyperlink w:anchor="_Toc119057748" w:history="1">
        <w:r w:rsidR="00CE613B" w:rsidRPr="005A1950">
          <w:rPr>
            <w:rStyle w:val="Hyperlink"/>
            <w:b/>
            <w:bCs/>
          </w:rPr>
          <w:t>Background and Purpose</w:t>
        </w:r>
        <w:r w:rsidR="00CE613B">
          <w:rPr>
            <w:webHidden/>
          </w:rPr>
          <w:tab/>
        </w:r>
        <w:r w:rsidR="00CE613B">
          <w:rPr>
            <w:webHidden/>
          </w:rPr>
          <w:fldChar w:fldCharType="begin"/>
        </w:r>
        <w:r w:rsidR="00CE613B">
          <w:rPr>
            <w:webHidden/>
          </w:rPr>
          <w:instrText xml:space="preserve"> PAGEREF _Toc119057748 \h </w:instrText>
        </w:r>
        <w:r w:rsidR="00CE613B">
          <w:rPr>
            <w:webHidden/>
          </w:rPr>
        </w:r>
        <w:r w:rsidR="00CE613B">
          <w:rPr>
            <w:webHidden/>
          </w:rPr>
          <w:fldChar w:fldCharType="separate"/>
        </w:r>
        <w:r w:rsidR="00CE613B">
          <w:rPr>
            <w:webHidden/>
          </w:rPr>
          <w:t>3</w:t>
        </w:r>
        <w:r w:rsidR="00CE613B">
          <w:rPr>
            <w:webHidden/>
          </w:rPr>
          <w:fldChar w:fldCharType="end"/>
        </w:r>
      </w:hyperlink>
    </w:p>
    <w:p w14:paraId="78CF5E7A" w14:textId="71BFD52A" w:rsidR="00CE613B" w:rsidRDefault="00400413">
      <w:pPr>
        <w:pStyle w:val="TOC2"/>
        <w:rPr>
          <w:rFonts w:asciiTheme="minorHAnsi" w:eastAsiaTheme="minorEastAsia" w:hAnsiTheme="minorHAnsi"/>
          <w:color w:val="auto"/>
          <w:sz w:val="24"/>
          <w:szCs w:val="24"/>
        </w:rPr>
      </w:pPr>
      <w:hyperlink w:anchor="_Toc119057749" w:history="1">
        <w:r w:rsidR="00CE613B" w:rsidRPr="005A1950">
          <w:rPr>
            <w:rStyle w:val="Hyperlink"/>
          </w:rPr>
          <w:t>Anomaly Detection Method</w:t>
        </w:r>
        <w:r w:rsidR="00CE613B">
          <w:rPr>
            <w:webHidden/>
          </w:rPr>
          <w:tab/>
        </w:r>
        <w:r w:rsidR="00CE613B">
          <w:rPr>
            <w:webHidden/>
          </w:rPr>
          <w:fldChar w:fldCharType="begin"/>
        </w:r>
        <w:r w:rsidR="00CE613B">
          <w:rPr>
            <w:webHidden/>
          </w:rPr>
          <w:instrText xml:space="preserve"> PAGEREF _Toc119057749 \h </w:instrText>
        </w:r>
        <w:r w:rsidR="00CE613B">
          <w:rPr>
            <w:webHidden/>
          </w:rPr>
        </w:r>
        <w:r w:rsidR="00CE613B">
          <w:rPr>
            <w:webHidden/>
          </w:rPr>
          <w:fldChar w:fldCharType="separate"/>
        </w:r>
        <w:r w:rsidR="00CE613B">
          <w:rPr>
            <w:webHidden/>
          </w:rPr>
          <w:t>3</w:t>
        </w:r>
        <w:r w:rsidR="00CE613B">
          <w:rPr>
            <w:webHidden/>
          </w:rPr>
          <w:fldChar w:fldCharType="end"/>
        </w:r>
      </w:hyperlink>
    </w:p>
    <w:p w14:paraId="466879E9" w14:textId="033458DA" w:rsidR="00CE613B" w:rsidRDefault="00400413">
      <w:pPr>
        <w:pStyle w:val="TOC2"/>
        <w:rPr>
          <w:rFonts w:asciiTheme="minorHAnsi" w:eastAsiaTheme="minorEastAsia" w:hAnsiTheme="minorHAnsi"/>
          <w:color w:val="auto"/>
          <w:sz w:val="24"/>
          <w:szCs w:val="24"/>
        </w:rPr>
      </w:pPr>
      <w:hyperlink w:anchor="_Toc119057750" w:history="1">
        <w:r w:rsidR="00CE613B" w:rsidRPr="005A1950">
          <w:rPr>
            <w:rStyle w:val="Hyperlink"/>
            <w:b/>
            <w:bCs/>
          </w:rPr>
          <w:t>Requirements</w:t>
        </w:r>
        <w:r w:rsidR="00CE613B">
          <w:rPr>
            <w:webHidden/>
          </w:rPr>
          <w:tab/>
        </w:r>
        <w:r w:rsidR="00CE613B">
          <w:rPr>
            <w:webHidden/>
          </w:rPr>
          <w:fldChar w:fldCharType="begin"/>
        </w:r>
        <w:r w:rsidR="00CE613B">
          <w:rPr>
            <w:webHidden/>
          </w:rPr>
          <w:instrText xml:space="preserve"> PAGEREF _Toc119057750 \h </w:instrText>
        </w:r>
        <w:r w:rsidR="00CE613B">
          <w:rPr>
            <w:webHidden/>
          </w:rPr>
        </w:r>
        <w:r w:rsidR="00CE613B">
          <w:rPr>
            <w:webHidden/>
          </w:rPr>
          <w:fldChar w:fldCharType="separate"/>
        </w:r>
        <w:r w:rsidR="00CE613B">
          <w:rPr>
            <w:webHidden/>
          </w:rPr>
          <w:t>3</w:t>
        </w:r>
        <w:r w:rsidR="00CE613B">
          <w:rPr>
            <w:webHidden/>
          </w:rPr>
          <w:fldChar w:fldCharType="end"/>
        </w:r>
      </w:hyperlink>
    </w:p>
    <w:p w14:paraId="3119C8C5" w14:textId="76295BE5" w:rsidR="00CE613B" w:rsidRDefault="00400413">
      <w:pPr>
        <w:pStyle w:val="TOC2"/>
        <w:rPr>
          <w:rFonts w:asciiTheme="minorHAnsi" w:eastAsiaTheme="minorEastAsia" w:hAnsiTheme="minorHAnsi"/>
          <w:color w:val="auto"/>
          <w:sz w:val="24"/>
          <w:szCs w:val="24"/>
        </w:rPr>
      </w:pPr>
      <w:hyperlink w:anchor="_Toc119057751" w:history="1">
        <w:r w:rsidR="00CE613B" w:rsidRPr="005A1950">
          <w:rPr>
            <w:rStyle w:val="Hyperlink"/>
          </w:rPr>
          <w:t>Data Requirements</w:t>
        </w:r>
        <w:r w:rsidR="00CE613B">
          <w:rPr>
            <w:webHidden/>
          </w:rPr>
          <w:tab/>
        </w:r>
        <w:r w:rsidR="00CE613B">
          <w:rPr>
            <w:webHidden/>
          </w:rPr>
          <w:fldChar w:fldCharType="begin"/>
        </w:r>
        <w:r w:rsidR="00CE613B">
          <w:rPr>
            <w:webHidden/>
          </w:rPr>
          <w:instrText xml:space="preserve"> PAGEREF _Toc119057751 \h </w:instrText>
        </w:r>
        <w:r w:rsidR="00CE613B">
          <w:rPr>
            <w:webHidden/>
          </w:rPr>
        </w:r>
        <w:r w:rsidR="00CE613B">
          <w:rPr>
            <w:webHidden/>
          </w:rPr>
          <w:fldChar w:fldCharType="separate"/>
        </w:r>
        <w:r w:rsidR="00CE613B">
          <w:rPr>
            <w:webHidden/>
          </w:rPr>
          <w:t>3</w:t>
        </w:r>
        <w:r w:rsidR="00CE613B">
          <w:rPr>
            <w:webHidden/>
          </w:rPr>
          <w:fldChar w:fldCharType="end"/>
        </w:r>
      </w:hyperlink>
    </w:p>
    <w:p w14:paraId="45380156" w14:textId="10F68AAC" w:rsidR="00CE613B" w:rsidRDefault="00400413">
      <w:pPr>
        <w:pStyle w:val="TOC2"/>
        <w:rPr>
          <w:rFonts w:asciiTheme="minorHAnsi" w:eastAsiaTheme="minorEastAsia" w:hAnsiTheme="minorHAnsi"/>
          <w:color w:val="auto"/>
          <w:sz w:val="24"/>
          <w:szCs w:val="24"/>
        </w:rPr>
      </w:pPr>
      <w:hyperlink w:anchor="_Toc119057752" w:history="1">
        <w:r w:rsidR="00CE613B" w:rsidRPr="005A1950">
          <w:rPr>
            <w:rStyle w:val="Hyperlink"/>
            <w:b/>
            <w:bCs/>
          </w:rPr>
          <w:t>Setup</w:t>
        </w:r>
        <w:r w:rsidR="00CE613B">
          <w:rPr>
            <w:webHidden/>
          </w:rPr>
          <w:tab/>
        </w:r>
        <w:r w:rsidR="00CE613B">
          <w:rPr>
            <w:webHidden/>
          </w:rPr>
          <w:fldChar w:fldCharType="begin"/>
        </w:r>
        <w:r w:rsidR="00CE613B">
          <w:rPr>
            <w:webHidden/>
          </w:rPr>
          <w:instrText xml:space="preserve"> PAGEREF _Toc119057752 \h </w:instrText>
        </w:r>
        <w:r w:rsidR="00CE613B">
          <w:rPr>
            <w:webHidden/>
          </w:rPr>
        </w:r>
        <w:r w:rsidR="00CE613B">
          <w:rPr>
            <w:webHidden/>
          </w:rPr>
          <w:fldChar w:fldCharType="separate"/>
        </w:r>
        <w:r w:rsidR="00CE613B">
          <w:rPr>
            <w:webHidden/>
          </w:rPr>
          <w:t>4</w:t>
        </w:r>
        <w:r w:rsidR="00CE613B">
          <w:rPr>
            <w:webHidden/>
          </w:rPr>
          <w:fldChar w:fldCharType="end"/>
        </w:r>
      </w:hyperlink>
    </w:p>
    <w:p w14:paraId="10981CEF" w14:textId="1406D5A6" w:rsidR="00CE613B" w:rsidRDefault="00400413">
      <w:pPr>
        <w:pStyle w:val="TOC2"/>
        <w:rPr>
          <w:rFonts w:asciiTheme="minorHAnsi" w:eastAsiaTheme="minorEastAsia" w:hAnsiTheme="minorHAnsi"/>
          <w:color w:val="auto"/>
          <w:sz w:val="24"/>
          <w:szCs w:val="24"/>
        </w:rPr>
      </w:pPr>
      <w:hyperlink w:anchor="_Toc119057753" w:history="1">
        <w:r w:rsidR="00CE613B" w:rsidRPr="005A1950">
          <w:rPr>
            <w:rStyle w:val="Hyperlink"/>
          </w:rPr>
          <w:t>Running the Tool</w:t>
        </w:r>
        <w:r w:rsidR="00CE613B">
          <w:rPr>
            <w:webHidden/>
          </w:rPr>
          <w:tab/>
        </w:r>
        <w:r w:rsidR="00CE613B">
          <w:rPr>
            <w:webHidden/>
          </w:rPr>
          <w:fldChar w:fldCharType="begin"/>
        </w:r>
        <w:r w:rsidR="00CE613B">
          <w:rPr>
            <w:webHidden/>
          </w:rPr>
          <w:instrText xml:space="preserve"> PAGEREF _Toc119057753 \h </w:instrText>
        </w:r>
        <w:r w:rsidR="00CE613B">
          <w:rPr>
            <w:webHidden/>
          </w:rPr>
        </w:r>
        <w:r w:rsidR="00CE613B">
          <w:rPr>
            <w:webHidden/>
          </w:rPr>
          <w:fldChar w:fldCharType="separate"/>
        </w:r>
        <w:r w:rsidR="00CE613B">
          <w:rPr>
            <w:webHidden/>
          </w:rPr>
          <w:t>5</w:t>
        </w:r>
        <w:r w:rsidR="00CE613B">
          <w:rPr>
            <w:webHidden/>
          </w:rPr>
          <w:fldChar w:fldCharType="end"/>
        </w:r>
      </w:hyperlink>
    </w:p>
    <w:p w14:paraId="369AA463" w14:textId="0F3D58EF" w:rsidR="00CE613B" w:rsidRDefault="00400413">
      <w:pPr>
        <w:pStyle w:val="TOC2"/>
        <w:rPr>
          <w:rFonts w:asciiTheme="minorHAnsi" w:eastAsiaTheme="minorEastAsia" w:hAnsiTheme="minorHAnsi"/>
          <w:color w:val="auto"/>
          <w:sz w:val="24"/>
          <w:szCs w:val="24"/>
        </w:rPr>
      </w:pPr>
      <w:hyperlink w:anchor="_Toc119057754" w:history="1">
        <w:r w:rsidR="00CE613B" w:rsidRPr="005A1950">
          <w:rPr>
            <w:rStyle w:val="Hyperlink"/>
            <w:b/>
            <w:bCs/>
          </w:rPr>
          <w:t>Excel Dashboard (optional)</w:t>
        </w:r>
        <w:r w:rsidR="00CE613B">
          <w:rPr>
            <w:webHidden/>
          </w:rPr>
          <w:tab/>
        </w:r>
        <w:r w:rsidR="00CE613B">
          <w:rPr>
            <w:webHidden/>
          </w:rPr>
          <w:fldChar w:fldCharType="begin"/>
        </w:r>
        <w:r w:rsidR="00CE613B">
          <w:rPr>
            <w:webHidden/>
          </w:rPr>
          <w:instrText xml:space="preserve"> PAGEREF _Toc119057754 \h </w:instrText>
        </w:r>
        <w:r w:rsidR="00CE613B">
          <w:rPr>
            <w:webHidden/>
          </w:rPr>
        </w:r>
        <w:r w:rsidR="00CE613B">
          <w:rPr>
            <w:webHidden/>
          </w:rPr>
          <w:fldChar w:fldCharType="separate"/>
        </w:r>
        <w:r w:rsidR="00CE613B">
          <w:rPr>
            <w:webHidden/>
          </w:rPr>
          <w:t>7</w:t>
        </w:r>
        <w:r w:rsidR="00CE613B">
          <w:rPr>
            <w:webHidden/>
          </w:rPr>
          <w:fldChar w:fldCharType="end"/>
        </w:r>
      </w:hyperlink>
    </w:p>
    <w:p w14:paraId="65A14035" w14:textId="40A8FE23" w:rsidR="00CE613B" w:rsidRDefault="00400413">
      <w:pPr>
        <w:pStyle w:val="TOC1"/>
        <w:rPr>
          <w:rFonts w:asciiTheme="minorHAnsi" w:eastAsiaTheme="minorEastAsia" w:hAnsiTheme="minorHAnsi"/>
          <w:b w:val="0"/>
          <w:color w:val="auto"/>
          <w:sz w:val="24"/>
          <w:szCs w:val="24"/>
        </w:rPr>
      </w:pPr>
      <w:hyperlink w:anchor="_Toc119057755" w:history="1">
        <w:r w:rsidR="00CE613B" w:rsidRPr="005A1950">
          <w:rPr>
            <w:rStyle w:val="Hyperlink"/>
          </w:rPr>
          <w:t>Annex 1. Anomaly Detection Methodology</w:t>
        </w:r>
        <w:r w:rsidR="00CE613B">
          <w:rPr>
            <w:webHidden/>
          </w:rPr>
          <w:tab/>
        </w:r>
        <w:r w:rsidR="00CE613B">
          <w:rPr>
            <w:webHidden/>
          </w:rPr>
          <w:fldChar w:fldCharType="begin"/>
        </w:r>
        <w:r w:rsidR="00CE613B">
          <w:rPr>
            <w:webHidden/>
          </w:rPr>
          <w:instrText xml:space="preserve"> PAGEREF _Toc119057755 \h </w:instrText>
        </w:r>
        <w:r w:rsidR="00CE613B">
          <w:rPr>
            <w:webHidden/>
          </w:rPr>
        </w:r>
        <w:r w:rsidR="00CE613B">
          <w:rPr>
            <w:webHidden/>
          </w:rPr>
          <w:fldChar w:fldCharType="separate"/>
        </w:r>
        <w:r w:rsidR="00CE613B">
          <w:rPr>
            <w:webHidden/>
          </w:rPr>
          <w:t>10</w:t>
        </w:r>
        <w:r w:rsidR="00CE613B">
          <w:rPr>
            <w:webHidden/>
          </w:rPr>
          <w:fldChar w:fldCharType="end"/>
        </w:r>
      </w:hyperlink>
    </w:p>
    <w:p w14:paraId="76290DB6" w14:textId="0F5D8579" w:rsidR="00CE613B" w:rsidRDefault="00400413">
      <w:pPr>
        <w:pStyle w:val="TOC2"/>
        <w:rPr>
          <w:rFonts w:asciiTheme="minorHAnsi" w:eastAsiaTheme="minorEastAsia" w:hAnsiTheme="minorHAnsi"/>
          <w:color w:val="auto"/>
          <w:sz w:val="24"/>
          <w:szCs w:val="24"/>
        </w:rPr>
      </w:pPr>
      <w:hyperlink w:anchor="_Toc119057756" w:history="1">
        <w:r w:rsidR="00CE613B" w:rsidRPr="005A1950">
          <w:rPr>
            <w:rStyle w:val="Hyperlink"/>
          </w:rPr>
          <w:t>Overview</w:t>
        </w:r>
        <w:r w:rsidR="00CE613B">
          <w:rPr>
            <w:webHidden/>
          </w:rPr>
          <w:tab/>
        </w:r>
        <w:r w:rsidR="00CE613B">
          <w:rPr>
            <w:webHidden/>
          </w:rPr>
          <w:fldChar w:fldCharType="begin"/>
        </w:r>
        <w:r w:rsidR="00CE613B">
          <w:rPr>
            <w:webHidden/>
          </w:rPr>
          <w:instrText xml:space="preserve"> PAGEREF _Toc119057756 \h </w:instrText>
        </w:r>
        <w:r w:rsidR="00CE613B">
          <w:rPr>
            <w:webHidden/>
          </w:rPr>
        </w:r>
        <w:r w:rsidR="00CE613B">
          <w:rPr>
            <w:webHidden/>
          </w:rPr>
          <w:fldChar w:fldCharType="separate"/>
        </w:r>
        <w:r w:rsidR="00CE613B">
          <w:rPr>
            <w:webHidden/>
          </w:rPr>
          <w:t>10</w:t>
        </w:r>
        <w:r w:rsidR="00CE613B">
          <w:rPr>
            <w:webHidden/>
          </w:rPr>
          <w:fldChar w:fldCharType="end"/>
        </w:r>
      </w:hyperlink>
    </w:p>
    <w:p w14:paraId="200004DE" w14:textId="7B49717C" w:rsidR="00CE613B" w:rsidRDefault="00400413">
      <w:pPr>
        <w:pStyle w:val="TOC2"/>
        <w:rPr>
          <w:rFonts w:asciiTheme="minorHAnsi" w:eastAsiaTheme="minorEastAsia" w:hAnsiTheme="minorHAnsi"/>
          <w:color w:val="auto"/>
          <w:sz w:val="24"/>
          <w:szCs w:val="24"/>
        </w:rPr>
      </w:pPr>
      <w:hyperlink w:anchor="_Toc119057757" w:history="1">
        <w:r w:rsidR="00CE613B" w:rsidRPr="005A1950">
          <w:rPr>
            <w:rStyle w:val="Hyperlink"/>
            <w:bCs/>
          </w:rPr>
          <w:t>Control Charts</w:t>
        </w:r>
        <w:r w:rsidR="00CE613B">
          <w:rPr>
            <w:webHidden/>
          </w:rPr>
          <w:tab/>
        </w:r>
        <w:r w:rsidR="00CE613B">
          <w:rPr>
            <w:webHidden/>
          </w:rPr>
          <w:fldChar w:fldCharType="begin"/>
        </w:r>
        <w:r w:rsidR="00CE613B">
          <w:rPr>
            <w:webHidden/>
          </w:rPr>
          <w:instrText xml:space="preserve"> PAGEREF _Toc119057757 \h </w:instrText>
        </w:r>
        <w:r w:rsidR="00CE613B">
          <w:rPr>
            <w:webHidden/>
          </w:rPr>
        </w:r>
        <w:r w:rsidR="00CE613B">
          <w:rPr>
            <w:webHidden/>
          </w:rPr>
          <w:fldChar w:fldCharType="separate"/>
        </w:r>
        <w:r w:rsidR="00CE613B">
          <w:rPr>
            <w:webHidden/>
          </w:rPr>
          <w:t>10</w:t>
        </w:r>
        <w:r w:rsidR="00CE613B">
          <w:rPr>
            <w:webHidden/>
          </w:rPr>
          <w:fldChar w:fldCharType="end"/>
        </w:r>
      </w:hyperlink>
    </w:p>
    <w:p w14:paraId="3BC774F7" w14:textId="666B9C60" w:rsidR="00CE613B" w:rsidRDefault="00400413">
      <w:pPr>
        <w:pStyle w:val="TOC2"/>
        <w:rPr>
          <w:rFonts w:asciiTheme="minorHAnsi" w:eastAsiaTheme="minorEastAsia" w:hAnsiTheme="minorHAnsi"/>
          <w:color w:val="auto"/>
          <w:sz w:val="24"/>
          <w:szCs w:val="24"/>
        </w:rPr>
      </w:pPr>
      <w:hyperlink w:anchor="_Toc119057758" w:history="1">
        <w:r w:rsidR="00CE613B" w:rsidRPr="005A1950">
          <w:rPr>
            <w:rStyle w:val="Hyperlink"/>
            <w:bCs/>
          </w:rPr>
          <w:t>Data Quality</w:t>
        </w:r>
        <w:r w:rsidR="00CE613B">
          <w:rPr>
            <w:webHidden/>
          </w:rPr>
          <w:tab/>
        </w:r>
        <w:r w:rsidR="00CE613B">
          <w:rPr>
            <w:webHidden/>
          </w:rPr>
          <w:fldChar w:fldCharType="begin"/>
        </w:r>
        <w:r w:rsidR="00CE613B">
          <w:rPr>
            <w:webHidden/>
          </w:rPr>
          <w:instrText xml:space="preserve"> PAGEREF _Toc119057758 \h </w:instrText>
        </w:r>
        <w:r w:rsidR="00CE613B">
          <w:rPr>
            <w:webHidden/>
          </w:rPr>
        </w:r>
        <w:r w:rsidR="00CE613B">
          <w:rPr>
            <w:webHidden/>
          </w:rPr>
          <w:fldChar w:fldCharType="separate"/>
        </w:r>
        <w:r w:rsidR="00CE613B">
          <w:rPr>
            <w:webHidden/>
          </w:rPr>
          <w:t>11</w:t>
        </w:r>
        <w:r w:rsidR="00CE613B">
          <w:rPr>
            <w:webHidden/>
          </w:rPr>
          <w:fldChar w:fldCharType="end"/>
        </w:r>
      </w:hyperlink>
    </w:p>
    <w:p w14:paraId="6DDF0A09" w14:textId="3C01F637" w:rsidR="00CE613B" w:rsidRDefault="00400413">
      <w:pPr>
        <w:pStyle w:val="TOC2"/>
        <w:rPr>
          <w:rFonts w:asciiTheme="minorHAnsi" w:eastAsiaTheme="minorEastAsia" w:hAnsiTheme="minorHAnsi"/>
          <w:color w:val="auto"/>
          <w:sz w:val="24"/>
          <w:szCs w:val="24"/>
        </w:rPr>
      </w:pPr>
      <w:hyperlink w:anchor="_Toc119057759" w:history="1">
        <w:r w:rsidR="00CE613B" w:rsidRPr="005A1950">
          <w:rPr>
            <w:rStyle w:val="Hyperlink"/>
            <w:bCs/>
          </w:rPr>
          <w:t>Test Rules</w:t>
        </w:r>
        <w:r w:rsidR="00CE613B">
          <w:rPr>
            <w:webHidden/>
          </w:rPr>
          <w:tab/>
        </w:r>
        <w:r w:rsidR="00CE613B">
          <w:rPr>
            <w:webHidden/>
          </w:rPr>
          <w:fldChar w:fldCharType="begin"/>
        </w:r>
        <w:r w:rsidR="00CE613B">
          <w:rPr>
            <w:webHidden/>
          </w:rPr>
          <w:instrText xml:space="preserve"> PAGEREF _Toc119057759 \h </w:instrText>
        </w:r>
        <w:r w:rsidR="00CE613B">
          <w:rPr>
            <w:webHidden/>
          </w:rPr>
        </w:r>
        <w:r w:rsidR="00CE613B">
          <w:rPr>
            <w:webHidden/>
          </w:rPr>
          <w:fldChar w:fldCharType="separate"/>
        </w:r>
        <w:r w:rsidR="00CE613B">
          <w:rPr>
            <w:webHidden/>
          </w:rPr>
          <w:t>12</w:t>
        </w:r>
        <w:r w:rsidR="00CE613B">
          <w:rPr>
            <w:webHidden/>
          </w:rPr>
          <w:fldChar w:fldCharType="end"/>
        </w:r>
      </w:hyperlink>
    </w:p>
    <w:p w14:paraId="2090E119" w14:textId="52F5E8F3" w:rsidR="00CE613B" w:rsidRDefault="00400413">
      <w:pPr>
        <w:pStyle w:val="TOC2"/>
        <w:rPr>
          <w:rFonts w:asciiTheme="minorHAnsi" w:eastAsiaTheme="minorEastAsia" w:hAnsiTheme="minorHAnsi"/>
          <w:color w:val="auto"/>
          <w:sz w:val="24"/>
          <w:szCs w:val="24"/>
        </w:rPr>
      </w:pPr>
      <w:hyperlink w:anchor="_Toc119057760" w:history="1">
        <w:r w:rsidR="00CE613B" w:rsidRPr="005A1950">
          <w:rPr>
            <w:rStyle w:val="Hyperlink"/>
          </w:rPr>
          <w:t>Appendix A: Control Chart Constants</w:t>
        </w:r>
        <w:r w:rsidR="00CE613B">
          <w:rPr>
            <w:webHidden/>
          </w:rPr>
          <w:tab/>
        </w:r>
        <w:r w:rsidR="00CE613B">
          <w:rPr>
            <w:webHidden/>
          </w:rPr>
          <w:fldChar w:fldCharType="begin"/>
        </w:r>
        <w:r w:rsidR="00CE613B">
          <w:rPr>
            <w:webHidden/>
          </w:rPr>
          <w:instrText xml:space="preserve"> PAGEREF _Toc119057760 \h </w:instrText>
        </w:r>
        <w:r w:rsidR="00CE613B">
          <w:rPr>
            <w:webHidden/>
          </w:rPr>
        </w:r>
        <w:r w:rsidR="00CE613B">
          <w:rPr>
            <w:webHidden/>
          </w:rPr>
          <w:fldChar w:fldCharType="separate"/>
        </w:r>
        <w:r w:rsidR="00CE613B">
          <w:rPr>
            <w:webHidden/>
          </w:rPr>
          <w:t>13</w:t>
        </w:r>
        <w:r w:rsidR="00CE613B">
          <w:rPr>
            <w:webHidden/>
          </w:rPr>
          <w:fldChar w:fldCharType="end"/>
        </w:r>
      </w:hyperlink>
    </w:p>
    <w:p w14:paraId="5EFAAE9D" w14:textId="71185039" w:rsidR="00FC1E58" w:rsidRDefault="002070CE" w:rsidP="00FC1E58">
      <w:pPr>
        <w:pStyle w:val="BodyCopy"/>
        <w:sectPr w:rsidR="00FC1E58" w:rsidSect="001558E0">
          <w:footerReference w:type="default" r:id="rId15"/>
          <w:footerReference w:type="first" r:id="rId16"/>
          <w:pgSz w:w="11909" w:h="16834" w:code="9"/>
          <w:pgMar w:top="1440" w:right="1440" w:bottom="1440" w:left="1440" w:header="720" w:footer="720" w:gutter="0"/>
          <w:pgNumType w:start="1"/>
          <w:cols w:space="720"/>
          <w:docGrid w:linePitch="360"/>
        </w:sectPr>
      </w:pPr>
      <w:r>
        <w:rPr>
          <w:rFonts w:eastAsiaTheme="minorHAnsi" w:cstheme="minorBidi"/>
          <w:b/>
          <w:noProof/>
          <w:szCs w:val="22"/>
        </w:rPr>
        <w:fldChar w:fldCharType="end"/>
      </w:r>
    </w:p>
    <w:p w14:paraId="5209A94E" w14:textId="77777777" w:rsidR="00FC1E58" w:rsidRPr="00FF49CB" w:rsidRDefault="00FC1E58" w:rsidP="00FF49CB">
      <w:pPr>
        <w:pStyle w:val="Head1"/>
      </w:pPr>
      <w:bookmarkStart w:id="1" w:name="_Toc119057746"/>
      <w:r w:rsidRPr="00FF49CB">
        <w:lastRenderedPageBreak/>
        <w:t>Acronyms</w:t>
      </w:r>
      <w:bookmarkEnd w:id="1"/>
    </w:p>
    <w:tbl>
      <w:tblPr>
        <w:tblStyle w:val="AcronymsTable"/>
        <w:tblW w:w="0" w:type="auto"/>
        <w:tblLook w:val="04A0" w:firstRow="1" w:lastRow="0" w:firstColumn="1" w:lastColumn="0" w:noHBand="0" w:noVBand="1"/>
      </w:tblPr>
      <w:tblGrid>
        <w:gridCol w:w="1496"/>
        <w:gridCol w:w="7533"/>
      </w:tblGrid>
      <w:tr w:rsidR="00FC1E58" w:rsidRPr="00D14CCB" w14:paraId="74313FDA" w14:textId="77777777" w:rsidTr="00EA4201">
        <w:tc>
          <w:tcPr>
            <w:tcW w:w="1496" w:type="dxa"/>
          </w:tcPr>
          <w:p w14:paraId="57B1013B" w14:textId="11059DFB" w:rsidR="00FC1E58" w:rsidRPr="00202B91" w:rsidRDefault="00EA4201" w:rsidP="001F34D2">
            <w:pPr>
              <w:pStyle w:val="Acronyms"/>
            </w:pPr>
            <w:r>
              <w:t>eLMIS</w:t>
            </w:r>
          </w:p>
        </w:tc>
        <w:tc>
          <w:tcPr>
            <w:tcW w:w="7533" w:type="dxa"/>
          </w:tcPr>
          <w:p w14:paraId="3C8923DA" w14:textId="02F22CA6" w:rsidR="00FC1E58" w:rsidRPr="00202B91" w:rsidRDefault="00EA4201" w:rsidP="001F34D2">
            <w:pPr>
              <w:pStyle w:val="Acronyms"/>
            </w:pPr>
            <w:r>
              <w:t>Electronic Logistics Management Information System</w:t>
            </w:r>
          </w:p>
        </w:tc>
      </w:tr>
      <w:tr w:rsidR="006F0875" w:rsidRPr="00D14CCB" w14:paraId="7FC287FF" w14:textId="77777777" w:rsidTr="00EA4201">
        <w:tc>
          <w:tcPr>
            <w:tcW w:w="1496" w:type="dxa"/>
          </w:tcPr>
          <w:p w14:paraId="49ADF83C" w14:textId="462D0A6E" w:rsidR="006F0875" w:rsidRDefault="006F0875" w:rsidP="001F34D2">
            <w:pPr>
              <w:pStyle w:val="Acronyms"/>
            </w:pPr>
            <w:r>
              <w:t>GHSC-PSM</w:t>
            </w:r>
          </w:p>
        </w:tc>
        <w:tc>
          <w:tcPr>
            <w:tcW w:w="7533" w:type="dxa"/>
          </w:tcPr>
          <w:p w14:paraId="3218E2D3" w14:textId="71BEE2A6" w:rsidR="006F0875" w:rsidRDefault="006F0875" w:rsidP="001F34D2">
            <w:pPr>
              <w:pStyle w:val="Acronyms"/>
            </w:pPr>
            <w:r>
              <w:t>Global Health Supply Chain – Procurement and Supply Management</w:t>
            </w:r>
          </w:p>
        </w:tc>
      </w:tr>
      <w:tr w:rsidR="00EA4201" w:rsidRPr="00D14CCB" w14:paraId="2D13E4B7" w14:textId="77777777" w:rsidTr="00EA4201">
        <w:tc>
          <w:tcPr>
            <w:tcW w:w="1496" w:type="dxa"/>
          </w:tcPr>
          <w:p w14:paraId="055CAFFC" w14:textId="77777777" w:rsidR="00EA4201" w:rsidRDefault="00EA4201" w:rsidP="001F34D2">
            <w:pPr>
              <w:pStyle w:val="Acronyms"/>
            </w:pPr>
          </w:p>
        </w:tc>
        <w:tc>
          <w:tcPr>
            <w:tcW w:w="7533" w:type="dxa"/>
          </w:tcPr>
          <w:p w14:paraId="4FD803BA" w14:textId="77777777" w:rsidR="00EA4201" w:rsidRDefault="00EA4201" w:rsidP="001F34D2">
            <w:pPr>
              <w:pStyle w:val="Acronyms"/>
            </w:pPr>
          </w:p>
        </w:tc>
      </w:tr>
    </w:tbl>
    <w:p w14:paraId="3E23C961" w14:textId="77777777" w:rsidR="00FC1E58" w:rsidRDefault="00FC1E58" w:rsidP="00FC1E58">
      <w:pPr>
        <w:pStyle w:val="BodyCopy"/>
        <w:sectPr w:rsidR="00FC1E58" w:rsidSect="001558E0">
          <w:pgSz w:w="11909" w:h="16834" w:code="9"/>
          <w:pgMar w:top="1440" w:right="1440" w:bottom="1440" w:left="1440" w:header="720" w:footer="720" w:gutter="0"/>
          <w:cols w:space="720"/>
          <w:docGrid w:linePitch="360"/>
        </w:sectPr>
      </w:pPr>
    </w:p>
    <w:p w14:paraId="5126AA73" w14:textId="499AAFE7" w:rsidR="00EA4201" w:rsidRDefault="00AA7970" w:rsidP="00EA4201">
      <w:pPr>
        <w:pStyle w:val="Heading1"/>
      </w:pPr>
      <w:bookmarkStart w:id="2" w:name="_Toc119057747"/>
      <w:r>
        <w:lastRenderedPageBreak/>
        <w:t>Consumption Anomalies Tool User Guide</w:t>
      </w:r>
      <w:bookmarkEnd w:id="2"/>
    </w:p>
    <w:p w14:paraId="06218DA9" w14:textId="4CE20A08" w:rsidR="00EA4201" w:rsidRDefault="00EA4201" w:rsidP="00EA4201">
      <w:pPr>
        <w:pStyle w:val="Heading2"/>
        <w:rPr>
          <w:b/>
          <w:bCs/>
        </w:rPr>
      </w:pPr>
      <w:bookmarkStart w:id="3" w:name="_Toc119057748"/>
      <w:r w:rsidRPr="00EA4201">
        <w:rPr>
          <w:b/>
          <w:bCs/>
        </w:rPr>
        <w:t>Background</w:t>
      </w:r>
      <w:r w:rsidR="009E34DA">
        <w:rPr>
          <w:b/>
          <w:bCs/>
        </w:rPr>
        <w:t xml:space="preserve"> and Purpose</w:t>
      </w:r>
      <w:bookmarkEnd w:id="3"/>
    </w:p>
    <w:p w14:paraId="16A7A6E1" w14:textId="2A1D045A" w:rsidR="003D6E88" w:rsidRPr="003D6E88" w:rsidRDefault="003D6E88" w:rsidP="003D6E88">
      <w:pPr>
        <w:pStyle w:val="Head3"/>
      </w:pPr>
      <w:r>
        <w:t>Background</w:t>
      </w:r>
    </w:p>
    <w:p w14:paraId="57A1591A" w14:textId="6187AD21" w:rsidR="00322BE6" w:rsidRDefault="00322BE6" w:rsidP="00322BE6">
      <w:pPr>
        <w:pStyle w:val="BodyCopy"/>
      </w:pPr>
      <w:r>
        <w:t xml:space="preserve">The Consumption Anomalies tool is designed to detect anomalous activity in consumption quantities of stock data. The tool was originally developed and used in Zambia. The solution was later refactored </w:t>
      </w:r>
      <w:r w:rsidR="003D6E88">
        <w:t xml:space="preserve">to be used on generalized stock data in ordered to be used by a broader set of countries. A simple user interface was added so users can run the tool </w:t>
      </w:r>
      <w:r w:rsidR="00590499">
        <w:t xml:space="preserve">from start to finish </w:t>
      </w:r>
      <w:r w:rsidR="003D6E88">
        <w:t xml:space="preserve">without needing to interact </w:t>
      </w:r>
      <w:r w:rsidR="00590499">
        <w:t xml:space="preserve">directly with the code. </w:t>
      </w:r>
    </w:p>
    <w:p w14:paraId="1A907204" w14:textId="10D22774" w:rsidR="0044684F" w:rsidRDefault="0044684F" w:rsidP="00322BE6">
      <w:pPr>
        <w:pStyle w:val="BodyCopy"/>
      </w:pPr>
      <w:r>
        <w:t>Using historical consumption data, the tool detects anomalies in consumption at the facility and product level and flags these combinations to the user for review.</w:t>
      </w:r>
    </w:p>
    <w:p w14:paraId="7ABAA19E" w14:textId="7D0D0407" w:rsidR="00590499" w:rsidRDefault="00590499" w:rsidP="00590499">
      <w:pPr>
        <w:pStyle w:val="Head2"/>
      </w:pPr>
      <w:bookmarkStart w:id="4" w:name="_Toc119057749"/>
      <w:r>
        <w:t>Anomaly Detection Method</w:t>
      </w:r>
      <w:bookmarkEnd w:id="4"/>
    </w:p>
    <w:p w14:paraId="1176CD24" w14:textId="77777777" w:rsidR="00F85B5D" w:rsidRDefault="00590499" w:rsidP="00590499">
      <w:pPr>
        <w:pStyle w:val="BodyCopy"/>
      </w:pPr>
      <w:r>
        <w:t>The Consumption Anomaly Detection tool uses a method called Statistical Process Control (SPC) to detect anomalies</w:t>
      </w:r>
      <w:r w:rsidR="009F2CDF">
        <w:t xml:space="preserve">. SPC is a standard practice in the manufacturing industry. It detects anomalies in data by calculating a moving range, with an upper and lower bound based on points of data over time. </w:t>
      </w:r>
    </w:p>
    <w:p w14:paraId="776074FA" w14:textId="15C3BEAE" w:rsidR="00590499" w:rsidRDefault="009F2CDF" w:rsidP="00590499">
      <w:pPr>
        <w:pStyle w:val="BodyCopy"/>
      </w:pPr>
      <w:r>
        <w:t xml:space="preserve">This method is useful because it accounts for some reasonable increases and decreases in values over time, which will not be flagged as anomalies, while being able to detect “unexpected” deviations in the data. For the application of facility consumption data, this means that a facility can </w:t>
      </w:r>
      <w:r w:rsidR="00F85B5D">
        <w:t>may have</w:t>
      </w:r>
      <w:r>
        <w:t xml:space="preserve"> a gradual decrease or increase in consumption of a product over time</w:t>
      </w:r>
      <w:r w:rsidR="00F85B5D">
        <w:t xml:space="preserve"> without it being flagged as an anomaly. </w:t>
      </w:r>
    </w:p>
    <w:p w14:paraId="2C99F8F2" w14:textId="5CA74EF4" w:rsidR="00590499" w:rsidRPr="00590499" w:rsidRDefault="00590499" w:rsidP="00590499">
      <w:pPr>
        <w:pStyle w:val="BodyCopy"/>
      </w:pPr>
      <w:r>
        <w:t>Find details on the mathematical specifics of the SPC implemented in this tool below in Annex 1.</w:t>
      </w:r>
    </w:p>
    <w:p w14:paraId="2914D308" w14:textId="4BCBDCC7" w:rsidR="00AA7970" w:rsidRDefault="00AA7970" w:rsidP="00AA7970">
      <w:pPr>
        <w:pStyle w:val="Heading2"/>
        <w:rPr>
          <w:b/>
          <w:bCs/>
        </w:rPr>
      </w:pPr>
      <w:bookmarkStart w:id="5" w:name="_Toc119057750"/>
      <w:r>
        <w:rPr>
          <w:b/>
          <w:bCs/>
        </w:rPr>
        <w:t>Requirements</w:t>
      </w:r>
      <w:bookmarkEnd w:id="5"/>
    </w:p>
    <w:p w14:paraId="66E1AADD" w14:textId="037B42FE" w:rsidR="003D6E88" w:rsidRPr="003D6E88" w:rsidRDefault="003D6E88" w:rsidP="003D6E88">
      <w:pPr>
        <w:pStyle w:val="BoxBullet"/>
      </w:pPr>
      <w:r>
        <w:t>Python 3</w:t>
      </w:r>
    </w:p>
    <w:p w14:paraId="6588FA26" w14:textId="76D032E4" w:rsidR="00322BE6" w:rsidRDefault="00322BE6" w:rsidP="00322BE6">
      <w:pPr>
        <w:pStyle w:val="Head2"/>
      </w:pPr>
      <w:bookmarkStart w:id="6" w:name="_Toc119057751"/>
      <w:r>
        <w:t>Data Requirements</w:t>
      </w:r>
      <w:bookmarkEnd w:id="6"/>
    </w:p>
    <w:p w14:paraId="2C3D4E23" w14:textId="3005A704" w:rsidR="0044684F" w:rsidRPr="0044684F" w:rsidRDefault="0044684F" w:rsidP="0044684F">
      <w:pPr>
        <w:pStyle w:val="Head3"/>
      </w:pPr>
      <w:r>
        <w:t>Data Fields Required</w:t>
      </w:r>
    </w:p>
    <w:p w14:paraId="208C904A" w14:textId="53F1583B" w:rsidR="0044684F" w:rsidRDefault="0044684F" w:rsidP="0044684F">
      <w:pPr>
        <w:pStyle w:val="BoxBullet"/>
      </w:pPr>
      <w:r>
        <w:t>Facility</w:t>
      </w:r>
    </w:p>
    <w:p w14:paraId="1A45859A" w14:textId="000161EA" w:rsidR="0044684F" w:rsidRDefault="0044684F" w:rsidP="0044684F">
      <w:pPr>
        <w:pStyle w:val="BoxBullet"/>
      </w:pPr>
      <w:r>
        <w:t>Product</w:t>
      </w:r>
    </w:p>
    <w:p w14:paraId="5015F784" w14:textId="712BEE5A" w:rsidR="0044684F" w:rsidRDefault="0044684F" w:rsidP="0044684F">
      <w:pPr>
        <w:pStyle w:val="BoxBullet"/>
      </w:pPr>
      <w:r>
        <w:t>Consumption</w:t>
      </w:r>
    </w:p>
    <w:p w14:paraId="72CB9D08" w14:textId="19D06031" w:rsidR="0044684F" w:rsidRDefault="0044684F" w:rsidP="0044684F">
      <w:pPr>
        <w:pStyle w:val="BoxBullet"/>
      </w:pPr>
      <w:r>
        <w:t>Date</w:t>
      </w:r>
    </w:p>
    <w:p w14:paraId="6A070281" w14:textId="7780B40A" w:rsidR="0044684F" w:rsidRDefault="0044684F" w:rsidP="0044684F">
      <w:pPr>
        <w:pStyle w:val="Head3"/>
      </w:pPr>
      <w:r>
        <w:t>Historical Data Requirements</w:t>
      </w:r>
    </w:p>
    <w:p w14:paraId="1F87D5AD" w14:textId="40ACF771" w:rsidR="0044684F" w:rsidRDefault="0044684F" w:rsidP="0044684F">
      <w:pPr>
        <w:pStyle w:val="BodyCopy"/>
      </w:pPr>
      <w:r>
        <w:t xml:space="preserve">The recommended amount of historical data to run anomaly detection is 24 periods (24 months if data is monthly, or 24 quarters if data is quarterly) but the tool can be run with as few as 12 periods, though results will be more accurate with 24 periods or more. </w:t>
      </w:r>
    </w:p>
    <w:p w14:paraId="6539F1F9" w14:textId="4A2D8B1B" w:rsidR="0044684F" w:rsidRDefault="0044684F" w:rsidP="0044684F">
      <w:pPr>
        <w:pStyle w:val="BodyCopy"/>
      </w:pPr>
      <w:r>
        <w:lastRenderedPageBreak/>
        <w:t xml:space="preserve">The tool includes some requirements for the completeness of data. By default, 75% of records in the historical data must be present for a given facility and product in order to perform anomaly detection, as well as 4 of the last 6 periods must be present. If this is not the case, the tool will automatically exclude that facility and product combination from the resulting analysis and show only combinations where it had enough data points to perform anomaly detection. While these are the recommended thresholds, they can be adjusted by the user in the tool if appropriate. </w:t>
      </w:r>
    </w:p>
    <w:p w14:paraId="05EA2F75" w14:textId="5FDA69C4" w:rsidR="0044684F" w:rsidRDefault="0044684F" w:rsidP="0044684F">
      <w:pPr>
        <w:pStyle w:val="Head3"/>
      </w:pPr>
      <w:r>
        <w:t>Monthly vs. Quarterly Data</w:t>
      </w:r>
    </w:p>
    <w:p w14:paraId="0815A2AB" w14:textId="01604E03" w:rsidR="0044684F" w:rsidRDefault="0044684F" w:rsidP="0044684F">
      <w:pPr>
        <w:pStyle w:val="BodyCopy"/>
      </w:pPr>
      <w:r>
        <w:t>The Consumption Anomaly Detection Tool can be run on both data collected on a monthly or quarterly reporting basis. Monthly data refers to one data point on consumption per product and facility per month. Similarly, quarterly data refers to one data point on consumption per product and facility per quarter. There is an option in the interface to select whether the data is monthly or quarterly.</w:t>
      </w:r>
    </w:p>
    <w:p w14:paraId="233EDDC7" w14:textId="758E103C" w:rsidR="0044684F" w:rsidRPr="0044684F" w:rsidRDefault="0044684F" w:rsidP="0044684F">
      <w:pPr>
        <w:pStyle w:val="BodyCopy"/>
      </w:pPr>
      <w:r>
        <w:t xml:space="preserve">As of this time the tool is not set up to work on transactional data, though such data could simply be aggregated to the monthly level and then run through this tool. </w:t>
      </w:r>
    </w:p>
    <w:p w14:paraId="6FE4C876" w14:textId="6CC6432B" w:rsidR="00EA4201" w:rsidRDefault="00AA7970" w:rsidP="00EA4201">
      <w:pPr>
        <w:pStyle w:val="Heading2"/>
        <w:rPr>
          <w:b/>
          <w:bCs/>
        </w:rPr>
      </w:pPr>
      <w:bookmarkStart w:id="7" w:name="_Toc119057752"/>
      <w:r>
        <w:rPr>
          <w:b/>
          <w:bCs/>
        </w:rPr>
        <w:t>Setup</w:t>
      </w:r>
      <w:bookmarkEnd w:id="7"/>
    </w:p>
    <w:p w14:paraId="0D0BC707" w14:textId="7D21F29F" w:rsidR="00CE613B" w:rsidRPr="00CE613B" w:rsidRDefault="00CE613B" w:rsidP="00CE613B">
      <w:pPr>
        <w:pStyle w:val="BodyCopy"/>
      </w:pPr>
      <w:r>
        <w:t>Setup only needs to be performed once when setting up a computer to run the Consumption Anomalies tool. Once setup is completed successfully once the tool will be able to be run repeatedly.</w:t>
      </w:r>
    </w:p>
    <w:p w14:paraId="04A3B33F" w14:textId="782739A3" w:rsidR="0044684F" w:rsidRPr="0044684F" w:rsidRDefault="0044684F" w:rsidP="0044684F">
      <w:pPr>
        <w:pStyle w:val="Head3"/>
      </w:pPr>
      <w:r w:rsidRPr="0044684F">
        <w:t>Install Python 3 </w:t>
      </w:r>
    </w:p>
    <w:p w14:paraId="17201ACE" w14:textId="77777777" w:rsidR="0044684F" w:rsidRPr="0044684F" w:rsidRDefault="0044684F" w:rsidP="0044684F">
      <w:pPr>
        <w:pStyle w:val="BodyCopy"/>
      </w:pPr>
      <w:r w:rsidRPr="0044684F">
        <w:t xml:space="preserve">Python can be installed by going to this webpage </w:t>
      </w:r>
      <w:hyperlink r:id="rId17" w:tgtFrame="_blank" w:history="1">
        <w:r w:rsidRPr="0044684F">
          <w:rPr>
            <w:rStyle w:val="Hyperlink"/>
          </w:rPr>
          <w:t>https://www.python.org/downloads/</w:t>
        </w:r>
      </w:hyperlink>
      <w:r w:rsidRPr="0044684F">
        <w:t xml:space="preserve"> and downloading the latest version of python that’s appropriate for your computer. Go through the installation prompts on your computer as directed. </w:t>
      </w:r>
    </w:p>
    <w:p w14:paraId="7FE94D58" w14:textId="646568F1" w:rsidR="0044684F" w:rsidRDefault="0044684F" w:rsidP="0044684F">
      <w:pPr>
        <w:pStyle w:val="Head3"/>
      </w:pPr>
      <w:r>
        <w:t>Install Python Packages</w:t>
      </w:r>
    </w:p>
    <w:p w14:paraId="48AC4CC3" w14:textId="7A19DEF4" w:rsidR="0044684F" w:rsidRPr="0044684F" w:rsidRDefault="0044684F" w:rsidP="0044684F">
      <w:pPr>
        <w:pStyle w:val="BodyCopy"/>
      </w:pPr>
      <w:r w:rsidRPr="0044684F">
        <w:t xml:space="preserve">In the folder that contains the extraction tool you will see a document called </w:t>
      </w:r>
      <w:r w:rsidRPr="0044684F">
        <w:rPr>
          <w:b/>
          <w:bCs/>
        </w:rPr>
        <w:t>requirements.txt</w:t>
      </w:r>
      <w:r w:rsidRPr="0044684F">
        <w:t>. This document helps to quickly install all the libraries needed to run this program. </w:t>
      </w:r>
    </w:p>
    <w:p w14:paraId="1509B5CD" w14:textId="43C9549B" w:rsidR="0044684F" w:rsidRPr="0044684F" w:rsidRDefault="0044684F" w:rsidP="0044684F">
      <w:pPr>
        <w:pStyle w:val="BodyCopy"/>
      </w:pPr>
      <w:r w:rsidRPr="0044684F">
        <w:t xml:space="preserve">To do this, open the </w:t>
      </w:r>
      <w:r w:rsidRPr="0044684F">
        <w:rPr>
          <w:b/>
          <w:bCs/>
        </w:rPr>
        <w:t>command prompt</w:t>
      </w:r>
      <w:r w:rsidRPr="0044684F">
        <w:t xml:space="preserve"> on your PC and navigate to the </w:t>
      </w:r>
      <w:r w:rsidR="00CE613B">
        <w:t>to4-consumption-anomalies</w:t>
      </w:r>
      <w:r w:rsidRPr="0044684F">
        <w:t xml:space="preserve"> folder </w:t>
      </w:r>
    </w:p>
    <w:p w14:paraId="30902E99" w14:textId="4D8B2DED" w:rsidR="0044684F" w:rsidRDefault="0044684F" w:rsidP="00CE613B">
      <w:pPr>
        <w:pStyle w:val="BodyCopy"/>
      </w:pPr>
      <w:r w:rsidRPr="0044684F">
        <w:t>Copy the path to the folder – Right click on the folder name (highlighted below) and select Copy address. </w:t>
      </w:r>
    </w:p>
    <w:p w14:paraId="41236F35" w14:textId="7C337BE1" w:rsidR="0044684F" w:rsidRPr="0044684F" w:rsidRDefault="00097988" w:rsidP="006C3676">
      <w:pPr>
        <w:pStyle w:val="BodyCopy"/>
      </w:pPr>
      <w:r w:rsidRPr="00097988">
        <w:lastRenderedPageBreak/>
        <w:drawing>
          <wp:inline distT="0" distB="0" distL="0" distR="0" wp14:anchorId="2439219A" wp14:editId="0B6F9359">
            <wp:extent cx="4665785" cy="2853007"/>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5785" cy="2853007"/>
                    </a:xfrm>
                    <a:prstGeom prst="rect">
                      <a:avLst/>
                    </a:prstGeom>
                  </pic:spPr>
                </pic:pic>
              </a:graphicData>
            </a:graphic>
          </wp:inline>
        </w:drawing>
      </w:r>
    </w:p>
    <w:p w14:paraId="076E12B5" w14:textId="77777777" w:rsidR="0044684F" w:rsidRPr="0044684F" w:rsidRDefault="0044684F" w:rsidP="00CE613B">
      <w:pPr>
        <w:pStyle w:val="BodyCopy"/>
      </w:pPr>
      <w:r w:rsidRPr="0044684F">
        <w:t>To navigate to the program folder in the command prompt ender the following code after the &gt; </w:t>
      </w:r>
    </w:p>
    <w:p w14:paraId="24D0640D" w14:textId="77777777" w:rsidR="0044684F" w:rsidRPr="0044684F" w:rsidRDefault="0044684F" w:rsidP="00CE613B">
      <w:pPr>
        <w:pStyle w:val="BodyCopy"/>
        <w:rPr>
          <w:rFonts w:ascii="Courier New" w:hAnsi="Courier New" w:cs="Courier New"/>
        </w:rPr>
      </w:pPr>
      <w:r w:rsidRPr="0044684F">
        <w:rPr>
          <w:rFonts w:ascii="Courier New" w:hAnsi="Courier New" w:cs="Courier New"/>
        </w:rPr>
        <w:t xml:space="preserve">cd </w:t>
      </w:r>
      <w:r w:rsidRPr="0044684F">
        <w:rPr>
          <w:rFonts w:ascii="Courier New" w:hAnsi="Courier New" w:cs="Courier New"/>
          <w:i/>
          <w:iCs/>
        </w:rPr>
        <w:t>paste</w:t>
      </w:r>
      <w:r w:rsidRPr="0044684F">
        <w:rPr>
          <w:rFonts w:ascii="Courier New" w:hAnsi="Courier New" w:cs="Courier New"/>
        </w:rPr>
        <w:t>/</w:t>
      </w:r>
      <w:r w:rsidRPr="0044684F">
        <w:rPr>
          <w:rFonts w:ascii="Courier New" w:hAnsi="Courier New" w:cs="Courier New"/>
          <w:i/>
          <w:iCs/>
        </w:rPr>
        <w:t>path/to/the/extract/folder</w:t>
      </w:r>
      <w:r w:rsidRPr="0044684F">
        <w:rPr>
          <w:rFonts w:ascii="Courier New" w:hAnsi="Courier New" w:cs="Courier New"/>
        </w:rPr>
        <w:t> </w:t>
      </w:r>
    </w:p>
    <w:p w14:paraId="699B0656" w14:textId="28030671" w:rsidR="0044684F" w:rsidRPr="0044684F" w:rsidRDefault="00E87F87" w:rsidP="00E87F87">
      <w:pPr>
        <w:pStyle w:val="BodyCopy"/>
      </w:pPr>
      <w:r w:rsidRPr="00E87F87">
        <w:drawing>
          <wp:inline distT="0" distB="0" distL="0" distR="0" wp14:anchorId="171AD45A" wp14:editId="1589C5CF">
            <wp:extent cx="5733415" cy="77597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775970"/>
                    </a:xfrm>
                    <a:prstGeom prst="rect">
                      <a:avLst/>
                    </a:prstGeom>
                  </pic:spPr>
                </pic:pic>
              </a:graphicData>
            </a:graphic>
          </wp:inline>
        </w:drawing>
      </w:r>
      <w:r w:rsidR="0044684F" w:rsidRPr="0044684F">
        <w:t> </w:t>
      </w:r>
    </w:p>
    <w:p w14:paraId="7B4EF33F" w14:textId="77777777" w:rsidR="0044684F" w:rsidRPr="0044684F" w:rsidRDefault="0044684F" w:rsidP="00CE613B">
      <w:pPr>
        <w:pStyle w:val="BodyCopy"/>
      </w:pPr>
      <w:r w:rsidRPr="0044684F">
        <w:t>Press Enter. The folder path should now appear before the &gt; </w:t>
      </w:r>
    </w:p>
    <w:p w14:paraId="2BFFB785" w14:textId="2607E663" w:rsidR="0044684F" w:rsidRPr="0044684F" w:rsidRDefault="00D01D63" w:rsidP="00D01D63">
      <w:pPr>
        <w:pStyle w:val="BodyCopy"/>
      </w:pPr>
      <w:r w:rsidRPr="00D01D63">
        <w:drawing>
          <wp:inline distT="0" distB="0" distL="0" distR="0" wp14:anchorId="181E2F32" wp14:editId="601E98EC">
            <wp:extent cx="5733415" cy="970280"/>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970280"/>
                    </a:xfrm>
                    <a:prstGeom prst="rect">
                      <a:avLst/>
                    </a:prstGeom>
                  </pic:spPr>
                </pic:pic>
              </a:graphicData>
            </a:graphic>
          </wp:inline>
        </w:drawing>
      </w:r>
    </w:p>
    <w:p w14:paraId="5808E73B" w14:textId="77777777" w:rsidR="00CE613B" w:rsidRDefault="0044684F" w:rsidP="00CE613B">
      <w:pPr>
        <w:pStyle w:val="BodyCopy"/>
      </w:pPr>
      <w:r w:rsidRPr="0044684F">
        <w:t>Enter the following text into the command prompt: </w:t>
      </w:r>
    </w:p>
    <w:p w14:paraId="3239CAF4" w14:textId="11DFF6BA" w:rsidR="0044684F" w:rsidRPr="0044684F" w:rsidRDefault="0044684F" w:rsidP="00CE613B">
      <w:pPr>
        <w:pStyle w:val="BodyCopy"/>
      </w:pPr>
      <w:r w:rsidRPr="0044684F">
        <w:rPr>
          <w:rFonts w:ascii="Courier New" w:hAnsi="Courier New" w:cs="Courier New"/>
        </w:rPr>
        <w:t>pip install -r requirements.txt </w:t>
      </w:r>
    </w:p>
    <w:p w14:paraId="21E8B581" w14:textId="15D48CA5" w:rsidR="0044684F" w:rsidRPr="0044684F" w:rsidRDefault="00055E54" w:rsidP="00055E54">
      <w:pPr>
        <w:pStyle w:val="BodyCopy"/>
      </w:pPr>
      <w:r w:rsidRPr="00055E54">
        <w:drawing>
          <wp:inline distT="0" distB="0" distL="0" distR="0" wp14:anchorId="16244FB7" wp14:editId="6524F70C">
            <wp:extent cx="5733415" cy="10128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012825"/>
                    </a:xfrm>
                    <a:prstGeom prst="rect">
                      <a:avLst/>
                    </a:prstGeom>
                  </pic:spPr>
                </pic:pic>
              </a:graphicData>
            </a:graphic>
          </wp:inline>
        </w:drawing>
      </w:r>
    </w:p>
    <w:p w14:paraId="7787D4BA" w14:textId="77777777" w:rsidR="0044684F" w:rsidRPr="0044684F" w:rsidRDefault="0044684F" w:rsidP="00CE613B">
      <w:pPr>
        <w:pStyle w:val="BodyCopy"/>
      </w:pPr>
      <w:r w:rsidRPr="0044684F">
        <w:t>You will see text running in the command prompt, which is installing each package. Once all libraries are installed you should return to showing the line with your current folder followed by &gt;.  </w:t>
      </w:r>
    </w:p>
    <w:p w14:paraId="2177C310" w14:textId="63B0CE90" w:rsidR="0044684F" w:rsidRPr="0044684F" w:rsidRDefault="0044684F" w:rsidP="00CE613B">
      <w:pPr>
        <w:pStyle w:val="BodyCopy"/>
      </w:pPr>
      <w:r w:rsidRPr="0044684F">
        <w:t>Package installation is now complete </w:t>
      </w:r>
    </w:p>
    <w:p w14:paraId="6A64EA1B" w14:textId="21C9E159" w:rsidR="00AA7970" w:rsidRDefault="00AA7970" w:rsidP="00AA7970">
      <w:pPr>
        <w:pStyle w:val="Head2"/>
      </w:pPr>
      <w:bookmarkStart w:id="8" w:name="_Toc119057753"/>
      <w:r>
        <w:lastRenderedPageBreak/>
        <w:t>Running the Tool</w:t>
      </w:r>
      <w:bookmarkEnd w:id="8"/>
    </w:p>
    <w:p w14:paraId="58D6E946" w14:textId="669D737F" w:rsidR="0044684F" w:rsidRDefault="0044684F" w:rsidP="0044684F">
      <w:pPr>
        <w:pStyle w:val="Head3"/>
      </w:pPr>
      <w:r>
        <w:t>Startup</w:t>
      </w:r>
    </w:p>
    <w:p w14:paraId="4164C7FF" w14:textId="79804E88" w:rsidR="0044684F" w:rsidRPr="0044684F" w:rsidRDefault="0044684F" w:rsidP="00CE613B">
      <w:pPr>
        <w:pStyle w:val="BodyCopy"/>
      </w:pPr>
      <w:r>
        <w:t xml:space="preserve">The tool will launch the first window to prompt the user to select their data file. Select </w:t>
      </w:r>
      <w:r>
        <w:rPr>
          <w:b/>
          <w:bCs/>
        </w:rPr>
        <w:t>Browse</w:t>
      </w:r>
      <w:r>
        <w:t xml:space="preserve"> and navigate to the file in the file system. When finished the path to the file will appear in box. Select </w:t>
      </w:r>
      <w:r>
        <w:rPr>
          <w:b/>
          <w:bCs/>
        </w:rPr>
        <w:t>Submit</w:t>
      </w:r>
      <w:r>
        <w:t>.</w:t>
      </w:r>
    </w:p>
    <w:p w14:paraId="7D18DBB6" w14:textId="31F00801" w:rsidR="0044684F" w:rsidRDefault="0044684F" w:rsidP="00CE613B">
      <w:pPr>
        <w:pStyle w:val="BodyCopy"/>
      </w:pPr>
      <w:r w:rsidRPr="0044684F">
        <w:rPr>
          <w:noProof/>
        </w:rPr>
        <w:drawing>
          <wp:inline distT="0" distB="0" distL="0" distR="0" wp14:anchorId="75213901" wp14:editId="1694C0D2">
            <wp:extent cx="3517900" cy="157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900" cy="1574800"/>
                    </a:xfrm>
                    <a:prstGeom prst="rect">
                      <a:avLst/>
                    </a:prstGeom>
                  </pic:spPr>
                </pic:pic>
              </a:graphicData>
            </a:graphic>
          </wp:inline>
        </w:drawing>
      </w:r>
    </w:p>
    <w:p w14:paraId="606FD864" w14:textId="2AAE883D" w:rsidR="0044684F" w:rsidRDefault="0044684F" w:rsidP="00CE613B">
      <w:pPr>
        <w:pStyle w:val="BodyCopy"/>
      </w:pPr>
      <w:r>
        <w:t>The second window will open prompting the user to fill in information about their</w:t>
      </w:r>
      <w:r w:rsidR="00CE613B">
        <w:t xml:space="preserve"> specific dataset. Fill in each field. Some fields dropdown menus will be pre-populated with the column headers of the selected dataset. See below for specifics on each field.</w:t>
      </w:r>
    </w:p>
    <w:p w14:paraId="23825D1C" w14:textId="36309C20" w:rsidR="0044684F" w:rsidRDefault="0044684F" w:rsidP="00CE613B">
      <w:pPr>
        <w:pStyle w:val="BodyCopy"/>
      </w:pPr>
      <w:r w:rsidRPr="0044684F">
        <w:rPr>
          <w:noProof/>
        </w:rPr>
        <w:drawing>
          <wp:inline distT="0" distB="0" distL="0" distR="0" wp14:anchorId="723C35E8" wp14:editId="0AED0543">
            <wp:extent cx="35941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4100" cy="2438400"/>
                    </a:xfrm>
                    <a:prstGeom prst="rect">
                      <a:avLst/>
                    </a:prstGeom>
                  </pic:spPr>
                </pic:pic>
              </a:graphicData>
            </a:graphic>
          </wp:inline>
        </w:drawing>
      </w:r>
    </w:p>
    <w:p w14:paraId="01E24C73" w14:textId="380D56A0" w:rsidR="00CE613B" w:rsidRDefault="00CE613B" w:rsidP="00CE613B">
      <w:pPr>
        <w:pStyle w:val="BoxBullet"/>
        <w:numPr>
          <w:ilvl w:val="0"/>
          <w:numId w:val="15"/>
        </w:numPr>
      </w:pPr>
      <w:r w:rsidRPr="00CE613B">
        <w:rPr>
          <w:b/>
          <w:bCs/>
        </w:rPr>
        <w:t>Date column</w:t>
      </w:r>
      <w:r>
        <w:t>: select which column contains the date</w:t>
      </w:r>
    </w:p>
    <w:p w14:paraId="21718667" w14:textId="72C100E1" w:rsidR="00CE613B" w:rsidRDefault="00CE613B" w:rsidP="00CE613B">
      <w:pPr>
        <w:pStyle w:val="BoxBullet"/>
        <w:numPr>
          <w:ilvl w:val="0"/>
          <w:numId w:val="15"/>
        </w:numPr>
      </w:pPr>
      <w:r w:rsidRPr="00CE613B">
        <w:rPr>
          <w:b/>
          <w:bCs/>
        </w:rPr>
        <w:t>Consumption column</w:t>
      </w:r>
      <w:r>
        <w:t>: select which column contains consumption</w:t>
      </w:r>
    </w:p>
    <w:p w14:paraId="714B9FE3" w14:textId="64B7B472" w:rsidR="00CE613B" w:rsidRDefault="00CE613B" w:rsidP="00CE613B">
      <w:pPr>
        <w:pStyle w:val="BoxBullet"/>
        <w:numPr>
          <w:ilvl w:val="0"/>
          <w:numId w:val="15"/>
        </w:numPr>
      </w:pPr>
      <w:r w:rsidRPr="00CE613B">
        <w:rPr>
          <w:b/>
          <w:bCs/>
        </w:rPr>
        <w:t>Date period</w:t>
      </w:r>
      <w:r>
        <w:t xml:space="preserve">: How many periods of </w:t>
      </w:r>
      <w:r>
        <w:rPr>
          <w:i/>
          <w:iCs/>
        </w:rPr>
        <w:t>historical</w:t>
      </w:r>
      <w:r>
        <w:t xml:space="preserve"> data does this data set contain? Exclude the last period (e.g. if there are 24 months of data total, the last month will be checked for anomalies, leaving 23 months of historical data. Enter 23 in the field).</w:t>
      </w:r>
    </w:p>
    <w:p w14:paraId="76926BAD" w14:textId="27D5CBF8" w:rsidR="00CE613B" w:rsidRDefault="00CE613B" w:rsidP="00CE613B">
      <w:pPr>
        <w:pStyle w:val="BoxBullet"/>
        <w:numPr>
          <w:ilvl w:val="0"/>
          <w:numId w:val="15"/>
        </w:numPr>
      </w:pPr>
      <w:r w:rsidRPr="00CE613B">
        <w:rPr>
          <w:b/>
          <w:bCs/>
        </w:rPr>
        <w:t>Test year</w:t>
      </w:r>
      <w:r>
        <w:t>: Which year does the testing period occur in (this should be the latest period in the dataset).</w:t>
      </w:r>
    </w:p>
    <w:p w14:paraId="4FFEA0B1" w14:textId="1D17C74D" w:rsidR="00CE613B" w:rsidRDefault="00CE613B" w:rsidP="00CE613B">
      <w:pPr>
        <w:pStyle w:val="BoxBullet"/>
        <w:numPr>
          <w:ilvl w:val="0"/>
          <w:numId w:val="15"/>
        </w:numPr>
      </w:pPr>
      <w:r w:rsidRPr="00CE613B">
        <w:rPr>
          <w:b/>
          <w:bCs/>
        </w:rPr>
        <w:t>Test month</w:t>
      </w:r>
      <w:r>
        <w:t>: Which month is the testing period (this should be the latest period in the dataset). In combination with the test year, this should indicate the testing period. Note: for quarterly data select the month that corresponds to the quarter in the dataset (e.g. if the date is the first of the quarter 1 2021, select 1 for the month and 2021 for year).</w:t>
      </w:r>
    </w:p>
    <w:p w14:paraId="34458BD2" w14:textId="1B7BA585" w:rsidR="00CE613B" w:rsidRDefault="00CE613B" w:rsidP="00CE613B">
      <w:pPr>
        <w:pStyle w:val="BoxBullet"/>
        <w:numPr>
          <w:ilvl w:val="0"/>
          <w:numId w:val="15"/>
        </w:numPr>
      </w:pPr>
      <w:r w:rsidRPr="00CE613B">
        <w:rPr>
          <w:b/>
          <w:bCs/>
        </w:rPr>
        <w:t>Product name column</w:t>
      </w:r>
      <w:r>
        <w:t>: select which column contains the unique product name</w:t>
      </w:r>
    </w:p>
    <w:p w14:paraId="71899051" w14:textId="7F5780F0" w:rsidR="00CE613B" w:rsidRDefault="00CE613B" w:rsidP="00CE613B">
      <w:pPr>
        <w:pStyle w:val="BoxBullet"/>
        <w:numPr>
          <w:ilvl w:val="0"/>
          <w:numId w:val="15"/>
        </w:numPr>
      </w:pPr>
      <w:r w:rsidRPr="00CE613B">
        <w:rPr>
          <w:b/>
          <w:bCs/>
        </w:rPr>
        <w:t>Facility name columns</w:t>
      </w:r>
      <w:r>
        <w:t>: select which column contains the unique facility name</w:t>
      </w:r>
    </w:p>
    <w:p w14:paraId="5AFA68C7" w14:textId="3268010A" w:rsidR="00CE613B" w:rsidRDefault="00CE613B" w:rsidP="00CE613B">
      <w:pPr>
        <w:pStyle w:val="BoxBullet"/>
        <w:numPr>
          <w:ilvl w:val="0"/>
          <w:numId w:val="15"/>
        </w:numPr>
      </w:pPr>
      <w:r w:rsidRPr="00CE613B">
        <w:rPr>
          <w:b/>
          <w:bCs/>
        </w:rPr>
        <w:t>Monthly or quarterly data</w:t>
      </w:r>
      <w:r>
        <w:t>: select whether data is reported monthly or quarterly</w:t>
      </w:r>
    </w:p>
    <w:p w14:paraId="5AFCA277" w14:textId="68D490B2" w:rsidR="00CE613B" w:rsidRDefault="00CE613B" w:rsidP="00CE613B">
      <w:pPr>
        <w:pStyle w:val="BoxBullet"/>
        <w:numPr>
          <w:ilvl w:val="0"/>
          <w:numId w:val="15"/>
        </w:numPr>
      </w:pPr>
      <w:r w:rsidRPr="00CE613B">
        <w:rPr>
          <w:b/>
          <w:bCs/>
        </w:rPr>
        <w:lastRenderedPageBreak/>
        <w:t>Required months of data</w:t>
      </w:r>
      <w:r>
        <w:t>: select how many periods of data out of the total date period must be present in order to perform anomaly detection. The tool defaults to 75% (shown automatically, and recommended) this can be changed by clicking the “Advanced Controls” button to unlock the field</w:t>
      </w:r>
    </w:p>
    <w:p w14:paraId="3DBFF29A" w14:textId="09C09840" w:rsidR="00CE613B" w:rsidRDefault="00CE613B" w:rsidP="00CE613B">
      <w:pPr>
        <w:pStyle w:val="BoxBullet"/>
        <w:numPr>
          <w:ilvl w:val="0"/>
          <w:numId w:val="15"/>
        </w:numPr>
      </w:pPr>
      <w:r w:rsidRPr="00CE613B">
        <w:rPr>
          <w:b/>
          <w:bCs/>
        </w:rPr>
        <w:t>Required months of data last 6 months</w:t>
      </w:r>
      <w:r>
        <w:t>: select how many periods of data out of the last 6 periods must be present in order to perform anomaly detection. The tool defaults to 5 out of 6 (shown automatically, and recommended) this can be changed by clicking the “Advanced Controls” button to unlock the field.</w:t>
      </w:r>
    </w:p>
    <w:p w14:paraId="3C9D844D" w14:textId="7E9C8930" w:rsidR="00CE613B" w:rsidRDefault="00CE613B" w:rsidP="00CE613B">
      <w:pPr>
        <w:pStyle w:val="BoxBullet"/>
        <w:numPr>
          <w:ilvl w:val="0"/>
          <w:numId w:val="15"/>
        </w:numPr>
      </w:pPr>
      <w:r w:rsidRPr="00CE613B">
        <w:rPr>
          <w:b/>
          <w:bCs/>
        </w:rPr>
        <w:t>Additional product info (optional):</w:t>
      </w:r>
      <w:r>
        <w:t xml:space="preserve"> select fields related to the product to be included in the final report. Include Product ID, Product Category, or Pack Size. Leave fields blank that don’t have a corresponding column header </w:t>
      </w:r>
    </w:p>
    <w:p w14:paraId="1F5856A7" w14:textId="77777777" w:rsidR="00CE613B" w:rsidRPr="0044684F" w:rsidRDefault="00CE613B" w:rsidP="00CE613B">
      <w:pPr>
        <w:pStyle w:val="BoxBullet"/>
        <w:numPr>
          <w:ilvl w:val="0"/>
          <w:numId w:val="15"/>
        </w:numPr>
      </w:pPr>
      <w:r w:rsidRPr="00CE613B">
        <w:rPr>
          <w:b/>
          <w:bCs/>
        </w:rPr>
        <w:t xml:space="preserve">Additional facility info (optional): </w:t>
      </w:r>
      <w:r>
        <w:t>select fields related to the facility to be included in the final report. Include Facility ID, Region, or District. Leave fields blank that don’t have a corresponding column header</w:t>
      </w:r>
    </w:p>
    <w:p w14:paraId="61CD95A1" w14:textId="58B1D230" w:rsidR="0044684F" w:rsidRDefault="0044684F" w:rsidP="0044684F">
      <w:pPr>
        <w:pStyle w:val="Head3"/>
      </w:pPr>
      <w:r>
        <w:t xml:space="preserve">Saving </w:t>
      </w:r>
      <w:r w:rsidR="00CE613B">
        <w:t xml:space="preserve">and Loading </w:t>
      </w:r>
      <w:r>
        <w:t>Configurations</w:t>
      </w:r>
    </w:p>
    <w:p w14:paraId="38D96C21" w14:textId="4D6B9696" w:rsidR="00CE613B" w:rsidRDefault="00CE613B" w:rsidP="00CE613B">
      <w:pPr>
        <w:pStyle w:val="BodyCopy"/>
      </w:pPr>
      <w:r>
        <w:t xml:space="preserve">If the user plans to run data with a similar structure time after time (e.g. a data extract which always contains the same column headers) it can be useful to save configurations to cut down on the number of fields that need to be populated. </w:t>
      </w:r>
    </w:p>
    <w:p w14:paraId="731A190E" w14:textId="20E66BC5" w:rsidR="00CE613B" w:rsidRDefault="00CE613B" w:rsidP="00CE613B">
      <w:pPr>
        <w:pStyle w:val="BodyCopy"/>
      </w:pPr>
      <w:r>
        <w:t>To save, once all fields are populated, click “Save Config” at the top of the panel.</w:t>
      </w:r>
    </w:p>
    <w:p w14:paraId="64A1648C" w14:textId="42C11D4A" w:rsidR="00CE613B" w:rsidRDefault="00CE613B" w:rsidP="00CE613B">
      <w:pPr>
        <w:pStyle w:val="BodyCopy"/>
      </w:pPr>
      <w:r>
        <w:t>To load previous configurations, click “Load Config” at the top of the panel. The fields will populate with the saved configurations then fields that need to be changed (such as testing month and year) can be changed as needed.</w:t>
      </w:r>
    </w:p>
    <w:p w14:paraId="058D669E" w14:textId="7648B0CB" w:rsidR="00CE613B" w:rsidRDefault="00CE613B" w:rsidP="00CE613B">
      <w:pPr>
        <w:pStyle w:val="Head3"/>
      </w:pPr>
      <w:r>
        <w:t>Running</w:t>
      </w:r>
    </w:p>
    <w:p w14:paraId="185888E5" w14:textId="1D167CB6" w:rsidR="00CE613B" w:rsidRDefault="00CE613B" w:rsidP="00CE613B">
      <w:pPr>
        <w:pStyle w:val="BodyCopy"/>
      </w:pPr>
      <w:r>
        <w:t xml:space="preserve">Once finished populating fields, click “Submit”. </w:t>
      </w:r>
    </w:p>
    <w:p w14:paraId="0804EC34" w14:textId="77777777" w:rsidR="00CE613B" w:rsidRDefault="00CE613B" w:rsidP="00CE613B">
      <w:pPr>
        <w:pStyle w:val="BodyCopy"/>
      </w:pPr>
      <w:r>
        <w:t>The analysis will take the given inputs and begin running. Information on the analytics process will be printed to the command prompt.</w:t>
      </w:r>
    </w:p>
    <w:p w14:paraId="02BB2152" w14:textId="4C7CB3EC" w:rsidR="00CE613B" w:rsidRDefault="00CE613B" w:rsidP="00CE613B">
      <w:pPr>
        <w:pStyle w:val="BodyCopy"/>
      </w:pPr>
      <w:r>
        <w:t xml:space="preserve">The analysis may take some time to run, depending on the amount of data provided to the tool. The output of the python scrips is a series of csv tables which will be updated in the file system. </w:t>
      </w:r>
    </w:p>
    <w:p w14:paraId="3A75AB69" w14:textId="69AB5865" w:rsidR="00CE613B" w:rsidRDefault="00CE613B" w:rsidP="00CE613B">
      <w:pPr>
        <w:pStyle w:val="BoxBullet"/>
        <w:numPr>
          <w:ilvl w:val="0"/>
          <w:numId w:val="20"/>
        </w:numPr>
      </w:pPr>
      <w:r w:rsidRPr="00CE613B">
        <w:rPr>
          <w:b/>
          <w:bCs/>
        </w:rPr>
        <w:t>investigation.csv</w:t>
      </w:r>
      <w:r>
        <w:t>: contains the list of anomalies detected and information on the anomaly</w:t>
      </w:r>
    </w:p>
    <w:p w14:paraId="6FE3A318" w14:textId="1C27E3FB" w:rsidR="00CE613B" w:rsidRDefault="00CE613B" w:rsidP="00CE613B">
      <w:pPr>
        <w:pStyle w:val="BoxBullet"/>
        <w:numPr>
          <w:ilvl w:val="0"/>
          <w:numId w:val="20"/>
        </w:numPr>
      </w:pPr>
      <w:r w:rsidRPr="00CE613B">
        <w:rPr>
          <w:b/>
          <w:bCs/>
        </w:rPr>
        <w:t>freq_by_product.csv</w:t>
      </w:r>
      <w:r>
        <w:t>: contains high level details on the anomalies occurring per product</w:t>
      </w:r>
    </w:p>
    <w:p w14:paraId="4161C410" w14:textId="78C3197E" w:rsidR="00CE613B" w:rsidRDefault="00CE613B" w:rsidP="00CE613B">
      <w:pPr>
        <w:pStyle w:val="BoxBullet"/>
        <w:numPr>
          <w:ilvl w:val="0"/>
          <w:numId w:val="20"/>
        </w:numPr>
      </w:pPr>
      <w:r w:rsidRPr="00CE613B">
        <w:rPr>
          <w:b/>
          <w:bCs/>
        </w:rPr>
        <w:t>freq_by_facility.csv</w:t>
      </w:r>
      <w:r>
        <w:t>: contains high level details on the anomalies occurring per facility</w:t>
      </w:r>
    </w:p>
    <w:p w14:paraId="410373C6" w14:textId="77777777" w:rsidR="00CE613B" w:rsidRDefault="00CE613B" w:rsidP="00CE613B">
      <w:pPr>
        <w:pStyle w:val="BodyCopy"/>
      </w:pPr>
    </w:p>
    <w:p w14:paraId="4E23CA22" w14:textId="3F51D274" w:rsidR="00CE613B" w:rsidRDefault="00CE613B" w:rsidP="00CE613B">
      <w:pPr>
        <w:pStyle w:val="BodyCopy"/>
      </w:pPr>
      <w:r>
        <w:t>These csvs can be used on their own, read into an existing system (such as an eLMIS), used to create a dashboard to visualize the anomalies, or used with the included excel dashboard.</w:t>
      </w:r>
    </w:p>
    <w:p w14:paraId="07317B0D" w14:textId="43FFB8E2" w:rsidR="00CE613B" w:rsidRPr="00CE613B" w:rsidRDefault="00CE613B" w:rsidP="00CE613B">
      <w:pPr>
        <w:pStyle w:val="BodyCopy"/>
      </w:pPr>
      <w:r>
        <w:t>Once finished, the tool will open a window prompting the user to open an excel report. Click “Open Excel Report”.</w:t>
      </w:r>
    </w:p>
    <w:p w14:paraId="4EE3FE45" w14:textId="3A87594C" w:rsidR="00EA4201" w:rsidRDefault="00AA7970" w:rsidP="00EA4201">
      <w:pPr>
        <w:pStyle w:val="Heading2"/>
        <w:rPr>
          <w:b/>
          <w:bCs/>
        </w:rPr>
      </w:pPr>
      <w:bookmarkStart w:id="9" w:name="_Toc119057754"/>
      <w:r>
        <w:rPr>
          <w:b/>
          <w:bCs/>
        </w:rPr>
        <w:t>Excel Dashboard (optional)</w:t>
      </w:r>
      <w:bookmarkEnd w:id="9"/>
    </w:p>
    <w:p w14:paraId="75798F26" w14:textId="19D41000" w:rsidR="00CE613B" w:rsidRDefault="00CE613B" w:rsidP="00CE613B">
      <w:pPr>
        <w:pStyle w:val="BodyCopy"/>
      </w:pPr>
      <w:r>
        <w:t>This section provides an overview of what information is shown in the provided excel report that displays the information in the output csv files from the analysis.</w:t>
      </w:r>
    </w:p>
    <w:p w14:paraId="77768EC9" w14:textId="7A832F58" w:rsidR="00CE613B" w:rsidRDefault="00CE613B" w:rsidP="00CE613B">
      <w:pPr>
        <w:pStyle w:val="Head3"/>
      </w:pPr>
      <w:r>
        <w:t>Startup</w:t>
      </w:r>
    </w:p>
    <w:p w14:paraId="15BC3EFA" w14:textId="57A5B28D" w:rsidR="00CE613B" w:rsidRPr="00CE613B" w:rsidRDefault="00CE613B" w:rsidP="00CE613B">
      <w:pPr>
        <w:pStyle w:val="BodyCopy"/>
      </w:pPr>
      <w:r>
        <w:lastRenderedPageBreak/>
        <w:t xml:space="preserve">Upon opening the report go to the </w:t>
      </w:r>
      <w:r>
        <w:rPr>
          <w:b/>
          <w:bCs/>
        </w:rPr>
        <w:t>Data</w:t>
      </w:r>
      <w:r>
        <w:t xml:space="preserve"> tab on the top ribbon and select the “Refresh All” button to load in the data from the csv files.</w:t>
      </w:r>
    </w:p>
    <w:p w14:paraId="11AADD0A" w14:textId="67C0186B" w:rsidR="00CE613B" w:rsidRDefault="00CE613B" w:rsidP="00CE613B">
      <w:pPr>
        <w:pStyle w:val="Head3"/>
      </w:pPr>
      <w:r>
        <w:t>Anomalies</w:t>
      </w:r>
    </w:p>
    <w:p w14:paraId="4F75A965" w14:textId="3E2AD1EF" w:rsidR="00CE613B" w:rsidRDefault="00CE613B" w:rsidP="00CE613B">
      <w:pPr>
        <w:pStyle w:val="BodyCopy"/>
      </w:pPr>
      <w:r>
        <w:t>The Anomalies tab lists out each anomaly detected for the testing period. The testing period is displayed in the upper left corner.</w:t>
      </w:r>
    </w:p>
    <w:p w14:paraId="0BC48EE6" w14:textId="1AB5226C" w:rsidR="00CE613B" w:rsidRPr="00CE613B" w:rsidRDefault="00CE613B" w:rsidP="00CE613B">
      <w:pPr>
        <w:pStyle w:val="BodyCopy"/>
      </w:pPr>
      <w:r>
        <w:t xml:space="preserve">The </w:t>
      </w:r>
      <w:r w:rsidRPr="00CE613B">
        <w:rPr>
          <w:b/>
          <w:bCs/>
        </w:rPr>
        <w:t>Anomaly Code</w:t>
      </w:r>
      <w:r>
        <w:rPr>
          <w:b/>
          <w:bCs/>
        </w:rPr>
        <w:t xml:space="preserve"> </w:t>
      </w:r>
      <w:r>
        <w:t xml:space="preserve">shows the type of anomaly that was detected (X, R or both, see appendix for additional information). The </w:t>
      </w:r>
      <w:r>
        <w:rPr>
          <w:b/>
          <w:bCs/>
        </w:rPr>
        <w:t xml:space="preserve">Anomaly Type </w:t>
      </w:r>
      <w:r>
        <w:t xml:space="preserve">shows whether the consumption anomaly is higher or lower than the calculated bounds. The </w:t>
      </w:r>
      <w:r w:rsidRPr="00CE613B">
        <w:rPr>
          <w:b/>
          <w:bCs/>
        </w:rPr>
        <w:t xml:space="preserve">Consumption Value </w:t>
      </w:r>
      <w:r>
        <w:t xml:space="preserve">shows the value that was determined to be an anomaly, and the </w:t>
      </w:r>
      <w:r w:rsidRPr="00CE613B">
        <w:rPr>
          <w:b/>
          <w:bCs/>
        </w:rPr>
        <w:t>X Lower Limit</w:t>
      </w:r>
      <w:r>
        <w:t xml:space="preserve"> and </w:t>
      </w:r>
      <w:r w:rsidRPr="00CE613B">
        <w:rPr>
          <w:b/>
          <w:bCs/>
        </w:rPr>
        <w:t>X Upper Limit</w:t>
      </w:r>
      <w:r>
        <w:t xml:space="preserve"> show the control limits calculated for the X test. Furthest to the right shows the ranking of each anomaly by X and R types. The lower the ranking, the greater the anomaly. </w:t>
      </w:r>
    </w:p>
    <w:p w14:paraId="61321F60" w14:textId="04D62E9E" w:rsidR="00CE613B" w:rsidRPr="00CE613B" w:rsidRDefault="00CE613B" w:rsidP="00CE613B">
      <w:pPr>
        <w:pStyle w:val="BodyCopy"/>
      </w:pPr>
      <w:r>
        <w:rPr>
          <w:noProof/>
        </w:rPr>
        <w:drawing>
          <wp:inline distT="0" distB="0" distL="0" distR="0" wp14:anchorId="27C7299C" wp14:editId="059CB45D">
            <wp:extent cx="5733415" cy="2178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178685"/>
                    </a:xfrm>
                    <a:prstGeom prst="rect">
                      <a:avLst/>
                    </a:prstGeom>
                  </pic:spPr>
                </pic:pic>
              </a:graphicData>
            </a:graphic>
          </wp:inline>
        </w:drawing>
      </w:r>
    </w:p>
    <w:p w14:paraId="19C02E6C" w14:textId="01A40C97" w:rsidR="00CE613B" w:rsidRDefault="00CE613B" w:rsidP="00CE613B">
      <w:pPr>
        <w:pStyle w:val="Head3"/>
      </w:pPr>
      <w:r>
        <w:t>Anomalies by Product</w:t>
      </w:r>
    </w:p>
    <w:p w14:paraId="0D83B235" w14:textId="4BF8AD17" w:rsidR="00CE613B" w:rsidRPr="00CE613B" w:rsidRDefault="00CE613B" w:rsidP="00CE613B">
      <w:pPr>
        <w:pStyle w:val="BodyCopy"/>
      </w:pPr>
      <w:r>
        <w:t xml:space="preserve">The Product tab visualizes anomalies for each product. Selecting a product from the </w:t>
      </w:r>
      <w:r>
        <w:rPr>
          <w:b/>
          <w:bCs/>
        </w:rPr>
        <w:t>Product</w:t>
      </w:r>
      <w:r>
        <w:t xml:space="preserve"> slicer displays all the facilities that had an anomaly for that product. The center of the page displays the number of anomalies detected for that product out of the total facilities with data on that product. The donut chart displays how many of those facilities had enough data to perform anomaly detection per the thresholds established on the user interface input.</w:t>
      </w:r>
    </w:p>
    <w:p w14:paraId="71BF34D4" w14:textId="14DF7DFD" w:rsidR="006F0875" w:rsidRDefault="00CE613B" w:rsidP="00EA4201">
      <w:pPr>
        <w:pStyle w:val="BodyCopy"/>
      </w:pPr>
      <w:r w:rsidRPr="00CE613B">
        <w:rPr>
          <w:noProof/>
        </w:rPr>
        <w:lastRenderedPageBreak/>
        <w:drawing>
          <wp:inline distT="0" distB="0" distL="0" distR="0" wp14:anchorId="67A8F1B7" wp14:editId="245590E3">
            <wp:extent cx="5733415" cy="3634105"/>
            <wp:effectExtent l="0" t="0" r="0" b="0"/>
            <wp:docPr id="6" name="Picture 5" descr="Graphical user interface, application&#10;&#10;Description automatically generated">
              <a:extLst xmlns:a="http://schemas.openxmlformats.org/drawingml/2006/main">
                <a:ext uri="{FF2B5EF4-FFF2-40B4-BE49-F238E27FC236}">
                  <a16:creationId xmlns:a16="http://schemas.microsoft.com/office/drawing/2014/main" id="{CA8670BF-52D5-4019-9218-4F29CECBF5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10;&#10;Description automatically generated">
                      <a:extLst>
                        <a:ext uri="{FF2B5EF4-FFF2-40B4-BE49-F238E27FC236}">
                          <a16:creationId xmlns:a16="http://schemas.microsoft.com/office/drawing/2014/main" id="{CA8670BF-52D5-4019-9218-4F29CECBF532}"/>
                        </a:ext>
                      </a:extLst>
                    </pic:cNvPr>
                    <pic:cNvPicPr>
                      <a:picLocks noChangeAspect="1"/>
                    </pic:cNvPicPr>
                  </pic:nvPicPr>
                  <pic:blipFill>
                    <a:blip r:embed="rId25"/>
                    <a:stretch>
                      <a:fillRect/>
                    </a:stretch>
                  </pic:blipFill>
                  <pic:spPr>
                    <a:xfrm>
                      <a:off x="0" y="0"/>
                      <a:ext cx="5733415" cy="3634105"/>
                    </a:xfrm>
                    <a:prstGeom prst="rect">
                      <a:avLst/>
                    </a:prstGeom>
                  </pic:spPr>
                </pic:pic>
              </a:graphicData>
            </a:graphic>
          </wp:inline>
        </w:drawing>
      </w:r>
    </w:p>
    <w:p w14:paraId="66DAA449" w14:textId="2DA7D99C" w:rsidR="00CE613B" w:rsidRDefault="00CE613B" w:rsidP="00CE613B">
      <w:pPr>
        <w:pStyle w:val="Head3"/>
      </w:pPr>
      <w:r>
        <w:t>Anomalies by Facility</w:t>
      </w:r>
    </w:p>
    <w:p w14:paraId="270764B2" w14:textId="299F7F12" w:rsidR="00CE613B" w:rsidRPr="00CE613B" w:rsidRDefault="00CE613B" w:rsidP="00CE613B">
      <w:pPr>
        <w:pStyle w:val="BodyCopy"/>
      </w:pPr>
      <w:r>
        <w:t xml:space="preserve">The Facility tab visualizes anomalies for each product. Selecting a product from the </w:t>
      </w:r>
      <w:r>
        <w:rPr>
          <w:b/>
          <w:bCs/>
        </w:rPr>
        <w:t>Facility</w:t>
      </w:r>
      <w:r>
        <w:t xml:space="preserve"> slicer displays all the products that had anomalies at that facility. The center of the page displays the number of anomalies detected at that facility out of all products for which that facility had data. The donut chart displays how many of those products had enough data to perform anomaly detection per the thresholds established on the user interface input.</w:t>
      </w:r>
    </w:p>
    <w:p w14:paraId="5CF11033" w14:textId="07D6D048" w:rsidR="00CE613B" w:rsidRDefault="00CE613B" w:rsidP="00EA4201">
      <w:pPr>
        <w:pStyle w:val="BodyCopy"/>
      </w:pPr>
      <w:r w:rsidRPr="00CE613B">
        <w:rPr>
          <w:noProof/>
        </w:rPr>
        <w:drawing>
          <wp:inline distT="0" distB="0" distL="0" distR="0" wp14:anchorId="57011D5E" wp14:editId="04C5CCC4">
            <wp:extent cx="5733415" cy="2325370"/>
            <wp:effectExtent l="0" t="0" r="0" b="0"/>
            <wp:docPr id="11" name="Picture 5">
              <a:extLst xmlns:a="http://schemas.openxmlformats.org/drawingml/2006/main">
                <a:ext uri="{FF2B5EF4-FFF2-40B4-BE49-F238E27FC236}">
                  <a16:creationId xmlns:a16="http://schemas.microsoft.com/office/drawing/2014/main" id="{9A538E1A-117F-4841-BEBB-ADFC8AB387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A538E1A-117F-4841-BEBB-ADFC8AB387E7}"/>
                        </a:ext>
                      </a:extLst>
                    </pic:cNvPr>
                    <pic:cNvPicPr>
                      <a:picLocks noChangeAspect="1"/>
                    </pic:cNvPicPr>
                  </pic:nvPicPr>
                  <pic:blipFill>
                    <a:blip r:embed="rId26"/>
                    <a:stretch>
                      <a:fillRect/>
                    </a:stretch>
                  </pic:blipFill>
                  <pic:spPr>
                    <a:xfrm>
                      <a:off x="0" y="0"/>
                      <a:ext cx="5733415" cy="2325370"/>
                    </a:xfrm>
                    <a:prstGeom prst="rect">
                      <a:avLst/>
                    </a:prstGeom>
                  </pic:spPr>
                </pic:pic>
              </a:graphicData>
            </a:graphic>
          </wp:inline>
        </w:drawing>
      </w:r>
    </w:p>
    <w:p w14:paraId="346CBE02" w14:textId="77777777" w:rsidR="00744AE5" w:rsidRDefault="00744AE5">
      <w:pPr>
        <w:sectPr w:rsidR="00744AE5" w:rsidSect="001558E0">
          <w:pgSz w:w="11909" w:h="16834" w:code="9"/>
          <w:pgMar w:top="1440" w:right="1440" w:bottom="1440" w:left="1440" w:header="720" w:footer="720" w:gutter="0"/>
          <w:cols w:space="720"/>
          <w:docGrid w:linePitch="360"/>
        </w:sectPr>
      </w:pPr>
    </w:p>
    <w:p w14:paraId="6B58E583" w14:textId="01220FB8" w:rsidR="007C7C4C" w:rsidRDefault="00CE613B" w:rsidP="00FF49CB">
      <w:pPr>
        <w:pStyle w:val="Head1"/>
      </w:pPr>
      <w:bookmarkStart w:id="10" w:name="_Toc119057755"/>
      <w:r>
        <w:lastRenderedPageBreak/>
        <w:t>Annex 1. Anomaly Detection Methodology</w:t>
      </w:r>
      <w:bookmarkEnd w:id="10"/>
    </w:p>
    <w:p w14:paraId="3668E334" w14:textId="77777777" w:rsidR="00CE613B" w:rsidRPr="00CE613B" w:rsidRDefault="00CE613B" w:rsidP="00CE613B">
      <w:pPr>
        <w:pStyle w:val="Head2"/>
      </w:pPr>
      <w:bookmarkStart w:id="11" w:name="_Toc7986018"/>
      <w:bookmarkStart w:id="12" w:name="_Toc119057756"/>
      <w:bookmarkStart w:id="13" w:name="_Hlk7966218"/>
      <w:r w:rsidRPr="00CE613B">
        <w:t>Overview</w:t>
      </w:r>
      <w:bookmarkEnd w:id="11"/>
      <w:bookmarkEnd w:id="12"/>
    </w:p>
    <w:bookmarkEnd w:id="13"/>
    <w:p w14:paraId="06988A9E" w14:textId="26518078" w:rsidR="00CE613B" w:rsidRPr="00CE613B" w:rsidRDefault="00CE613B" w:rsidP="00CE613B">
      <w:pPr>
        <w:pStyle w:val="BodyCopy"/>
      </w:pPr>
      <w:r w:rsidRPr="00CE613B">
        <w:t>Detection of consumption outliers requires a statistical procedure known as Statistical Process Control (SPC). SPC is an industry-standard methodology in supply chain management using control charts to see if any part of the process is not under control. It is achieved by taking new data samples from the process and plotting these sample points on a chart, to see if the process is within statistical control limits. The control limits are calculated using historical data over time once the process is consistent and predictable and requires a minimum sample size of 20 for each consumed product.</w:t>
      </w:r>
    </w:p>
    <w:p w14:paraId="250A8F2A" w14:textId="77777777" w:rsidR="00CE613B" w:rsidRPr="00CE613B" w:rsidRDefault="00CE613B" w:rsidP="00CE613B">
      <w:pPr>
        <w:pStyle w:val="Head2"/>
        <w:rPr>
          <w:bCs/>
        </w:rPr>
      </w:pPr>
      <w:bookmarkStart w:id="14" w:name="_Toc7986019"/>
      <w:bookmarkStart w:id="15" w:name="_Toc119057757"/>
      <w:r w:rsidRPr="00CE613B">
        <w:rPr>
          <w:bCs/>
        </w:rPr>
        <w:t>Control Charts</w:t>
      </w:r>
      <w:bookmarkEnd w:id="14"/>
      <w:bookmarkEnd w:id="15"/>
    </w:p>
    <w:p w14:paraId="57F084D1" w14:textId="6EA3CD39" w:rsidR="00CE613B" w:rsidRPr="00CE613B" w:rsidRDefault="00CE613B" w:rsidP="00CE613B">
      <w:pPr>
        <w:pStyle w:val="BodyCopy"/>
      </w:pPr>
      <w:r w:rsidRPr="00CE613B">
        <w:t>There are two types of control charts used in SPC. These are the “Moving Range” chart (FIGURE 1), which is used to analyze the spread and variability of the sample’s data points, and the “Individuals” chart (FIGURE 2), which is used to analyze the center of the sample’s data points to detect shifts and trends. These two charts are used in tandem and are known as the I-MR chart.</w:t>
      </w:r>
    </w:p>
    <w:p w14:paraId="41242B3B" w14:textId="77777777" w:rsidR="00CE613B" w:rsidRPr="00CE613B" w:rsidRDefault="00CE613B" w:rsidP="00CE613B">
      <w:pPr>
        <w:pStyle w:val="Caption"/>
        <w:jc w:val="center"/>
      </w:pPr>
      <w:bookmarkStart w:id="16" w:name="_Toc8117193"/>
      <w:r w:rsidRPr="00CE613B">
        <w:t xml:space="preserve">FIGURE </w:t>
      </w:r>
      <w:fldSimple w:instr=" SEQ Figure \* ARABIC ">
        <w:r w:rsidRPr="00CE613B">
          <w:t>1</w:t>
        </w:r>
      </w:fldSimple>
      <w:r w:rsidRPr="00CE613B">
        <w:t>: Moving Range Chart</w:t>
      </w:r>
      <w:bookmarkEnd w:id="16"/>
    </w:p>
    <w:p w14:paraId="239B4017" w14:textId="77777777" w:rsidR="00CE613B" w:rsidRPr="00CE613B" w:rsidRDefault="00CE613B" w:rsidP="00CE613B">
      <w:pPr>
        <w:pStyle w:val="BodyCopy"/>
        <w:jc w:val="center"/>
      </w:pPr>
      <w:r w:rsidRPr="00CE613B">
        <w:rPr>
          <w:b/>
          <w:noProof/>
        </w:rPr>
        <w:drawing>
          <wp:inline distT="0" distB="0" distL="0" distR="0" wp14:anchorId="20EB7BDA" wp14:editId="04FB13E5">
            <wp:extent cx="3657600" cy="20837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7600" cy="2083766"/>
                    </a:xfrm>
                    <a:prstGeom prst="rect">
                      <a:avLst/>
                    </a:prstGeom>
                    <a:noFill/>
                  </pic:spPr>
                </pic:pic>
              </a:graphicData>
            </a:graphic>
          </wp:inline>
        </w:drawing>
      </w:r>
    </w:p>
    <w:p w14:paraId="15F67B0A" w14:textId="6D202EBD" w:rsidR="00CE613B" w:rsidRPr="00CE613B" w:rsidRDefault="00CE613B" w:rsidP="00CE613B">
      <w:pPr>
        <w:pStyle w:val="BodyCopy"/>
      </w:pPr>
      <w:r w:rsidRPr="00CE613B">
        <w:t>Because the moving range is calculated only with positive values (no negative consumption), the lower limit is always zero. For the Upper Control Limit (UCL) and the Range (</w:t>
      </w:r>
      <m:oMath>
        <m:acc>
          <m:accPr>
            <m:chr m:val="̅"/>
            <m:ctrlPr>
              <w:rPr>
                <w:rFonts w:ascii="Cambria Math" w:hAnsi="Cambria Math"/>
                <w:i/>
              </w:rPr>
            </m:ctrlPr>
          </m:accPr>
          <m:e>
            <m:r>
              <w:rPr>
                <w:rFonts w:ascii="Cambria Math" w:hAnsi="Cambria Math"/>
              </w:rPr>
              <m:t>R</m:t>
            </m:r>
          </m:e>
        </m:acc>
      </m:oMath>
      <w:r w:rsidRPr="00CE613B">
        <w:t>) of the Moving Range Chart, the following equations are used:</w:t>
      </w:r>
    </w:p>
    <w:p w14:paraId="2BDAE974" w14:textId="05607978" w:rsidR="00CE613B" w:rsidRPr="00CE613B" w:rsidRDefault="00400413" w:rsidP="00CE613B">
      <w:pPr>
        <w:pStyle w:val="BoxText"/>
        <w:rPr>
          <w:color w:val="6C6463"/>
          <w:szCs w:val="24"/>
        </w:rPr>
      </w:pPr>
      <m:oMathPara>
        <m:oMath>
          <m:acc>
            <m:accPr>
              <m:chr m:val="̅"/>
              <m:ctrlPr>
                <w:rPr>
                  <w:rFonts w:ascii="Cambria Math" w:hAnsi="Cambria Math"/>
                  <w:color w:val="6C6463"/>
                  <w:szCs w:val="24"/>
                </w:rPr>
              </m:ctrlPr>
            </m:accPr>
            <m:e>
              <m:r>
                <w:rPr>
                  <w:rFonts w:ascii="Cambria Math" w:hAnsi="Cambria Math"/>
                </w:rPr>
                <m:t>R</m:t>
              </m:r>
            </m:e>
          </m:acc>
          <m:r>
            <m:rPr>
              <m:sty m:val="p"/>
            </m:rPr>
            <w:rPr>
              <w:rFonts w:ascii="Cambria Math" w:hAnsi="Cambria Math"/>
            </w:rPr>
            <m:t>=</m:t>
          </m:r>
          <m:f>
            <m:fPr>
              <m:ctrlPr>
                <w:rPr>
                  <w:rFonts w:ascii="Cambria Math" w:hAnsi="Cambria Math"/>
                  <w:color w:val="6C6463"/>
                  <w:szCs w:val="24"/>
                </w:rPr>
              </m:ctrlPr>
            </m:fPr>
            <m:num>
              <m:r>
                <m:rPr>
                  <m:sty m:val="p"/>
                </m:rPr>
                <w:rPr>
                  <w:rFonts w:ascii="Cambria Math" w:hAnsi="Cambria Math"/>
                </w:rPr>
                <m:t xml:space="preserve"> </m:t>
              </m:r>
              <m:nary>
                <m:naryPr>
                  <m:chr m:val="∑"/>
                  <m:limLoc m:val="undOvr"/>
                  <m:ctrlPr>
                    <w:rPr>
                      <w:rFonts w:ascii="Cambria Math" w:hAnsi="Cambria Math"/>
                      <w:color w:val="6C6463"/>
                      <w:szCs w:val="24"/>
                    </w:rPr>
                  </m:ctrlPr>
                </m:naryPr>
                <m:sub>
                  <m:r>
                    <w:rPr>
                      <w:rFonts w:ascii="Cambria Math" w:hAnsi="Cambria Math"/>
                    </w:rPr>
                    <m:t>k</m:t>
                  </m:r>
                  <m:r>
                    <m:rPr>
                      <m:sty m:val="p"/>
                    </m:rPr>
                    <w:rPr>
                      <w:rFonts w:ascii="Cambria Math" w:hAnsi="Cambria Math"/>
                    </w:rPr>
                    <m:t>=1</m:t>
                  </m:r>
                </m:sub>
                <m:sup>
                  <m:r>
                    <w:rPr>
                      <w:rFonts w:ascii="Cambria Math" w:hAnsi="Cambria Math"/>
                    </w:rPr>
                    <m:t>n</m:t>
                  </m:r>
                </m:sup>
                <m:e>
                  <m:r>
                    <w:rPr>
                      <w:rFonts w:ascii="Cambria Math" w:hAnsi="Cambria Math"/>
                    </w:rPr>
                    <m:t>abs</m:t>
                  </m:r>
                  <m:r>
                    <m:rPr>
                      <m:sty m:val="p"/>
                    </m:rPr>
                    <w:rPr>
                      <w:rFonts w:ascii="Cambria Math" w:hAnsi="Cambria Math"/>
                    </w:rPr>
                    <m:t>(</m:t>
                  </m:r>
                  <m:sSub>
                    <m:sSubPr>
                      <m:ctrlPr>
                        <w:rPr>
                          <w:rFonts w:ascii="Cambria Math" w:hAnsi="Cambria Math"/>
                          <w:color w:val="6C6463"/>
                          <w:szCs w:val="24"/>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color w:val="6C6463"/>
                          <w:szCs w:val="24"/>
                        </w:rPr>
                      </m:ctrlPr>
                    </m:sSubPr>
                    <m:e>
                      <m:r>
                        <w:rPr>
                          <w:rFonts w:ascii="Cambria Math" w:hAnsi="Cambria Math"/>
                        </w:rPr>
                        <m:t>X</m:t>
                      </m:r>
                    </m:e>
                    <m:sub>
                      <m:r>
                        <w:rPr>
                          <w:rFonts w:ascii="Cambria Math" w:hAnsi="Cambria Math"/>
                        </w:rPr>
                        <m:t>k</m:t>
                      </m:r>
                    </m:sub>
                  </m:sSub>
                  <m:r>
                    <m:rPr>
                      <m:sty m:val="p"/>
                    </m:rPr>
                    <w:rPr>
                      <w:rFonts w:ascii="Cambria Math" w:hAnsi="Cambria Math"/>
                    </w:rPr>
                    <m:t>)</m:t>
                  </m:r>
                </m:e>
              </m:nary>
            </m:num>
            <m:den>
              <m:r>
                <w:rPr>
                  <w:rFonts w:ascii="Cambria Math" w:hAnsi="Cambria Math"/>
                </w:rPr>
                <m:t>n</m:t>
              </m:r>
            </m:den>
          </m:f>
        </m:oMath>
      </m:oMathPara>
    </w:p>
    <w:p w14:paraId="083AD12C" w14:textId="582067F4" w:rsidR="00CE613B" w:rsidRPr="00CE613B" w:rsidRDefault="00CE613B" w:rsidP="00CE613B">
      <w:pPr>
        <w:pStyle w:val="BoxText"/>
        <w:rPr>
          <w:color w:val="6C6463"/>
          <w:szCs w:val="24"/>
        </w:rPr>
      </w:pPr>
      <m:oMathPara>
        <m:oMath>
          <m:r>
            <w:rPr>
              <w:rFonts w:ascii="Cambria Math" w:hAnsi="Cambria Math"/>
            </w:rPr>
            <m:t>UCL</m:t>
          </m:r>
          <m:r>
            <m:rPr>
              <m:sty m:val="p"/>
            </m:rPr>
            <w:rPr>
              <w:rFonts w:ascii="Cambria Math" w:hAnsi="Cambria Math"/>
            </w:rPr>
            <m:t xml:space="preserve"> =</m:t>
          </m:r>
          <m:sSub>
            <m:sSubPr>
              <m:ctrlPr>
                <w:rPr>
                  <w:rFonts w:ascii="Cambria Math" w:hAnsi="Cambria Math"/>
                  <w:color w:val="6C6463"/>
                  <w:szCs w:val="24"/>
                </w:rPr>
              </m:ctrlPr>
            </m:sSubPr>
            <m:e>
              <m:r>
                <w:rPr>
                  <w:rFonts w:ascii="Cambria Math" w:hAnsi="Cambria Math"/>
                </w:rPr>
                <m:t>D</m:t>
              </m:r>
            </m:e>
            <m:sub>
              <m:r>
                <m:rPr>
                  <m:sty m:val="p"/>
                </m:rPr>
                <w:rPr>
                  <w:rFonts w:ascii="Cambria Math" w:hAnsi="Cambria Math"/>
                </w:rPr>
                <m:t>4</m:t>
              </m:r>
            </m:sub>
          </m:sSub>
          <m:r>
            <m:rPr>
              <m:sty m:val="p"/>
            </m:rPr>
            <w:rPr>
              <w:rFonts w:ascii="Cambria Math" w:hAnsi="Cambria Math"/>
            </w:rPr>
            <m:t>*</m:t>
          </m:r>
          <m:acc>
            <m:accPr>
              <m:chr m:val="̅"/>
              <m:ctrlPr>
                <w:rPr>
                  <w:rFonts w:ascii="Cambria Math" w:hAnsi="Cambria Math"/>
                  <w:color w:val="6C6463"/>
                  <w:szCs w:val="24"/>
                </w:rPr>
              </m:ctrlPr>
            </m:accPr>
            <m:e>
              <m:r>
                <w:rPr>
                  <w:rFonts w:ascii="Cambria Math" w:hAnsi="Cambria Math"/>
                </w:rPr>
                <m:t>R</m:t>
              </m:r>
            </m:e>
          </m:acc>
        </m:oMath>
      </m:oMathPara>
    </w:p>
    <w:p w14:paraId="53774A24" w14:textId="77777777" w:rsidR="00CE613B" w:rsidRPr="00CE613B" w:rsidRDefault="00CE613B" w:rsidP="00CE613B">
      <w:pPr>
        <w:pStyle w:val="BoxText"/>
      </w:pPr>
      <w:r w:rsidRPr="00CE613B">
        <w:t>Where:</w:t>
      </w:r>
    </w:p>
    <w:p w14:paraId="22643A05" w14:textId="77777777" w:rsidR="00CE613B" w:rsidRPr="00CE613B" w:rsidRDefault="00CE613B" w:rsidP="00CE613B">
      <w:pPr>
        <w:pStyle w:val="BoxText"/>
      </w:pPr>
      <w:r w:rsidRPr="00CE613B">
        <w:t>D4 is pulled from the Control Chart Constant table depending on the sample size of the moving range subgroup (See Appendix A)</w:t>
      </w:r>
    </w:p>
    <w:p w14:paraId="29687C29" w14:textId="0DA19622" w:rsidR="00CE613B" w:rsidRPr="00CE613B" w:rsidRDefault="00CE613B" w:rsidP="00CE613B">
      <w:pPr>
        <w:pStyle w:val="BoxText"/>
      </w:pPr>
      <w:r w:rsidRPr="00CE613B">
        <w:t>Xmax and Xmin are the maximum and minimum data points, respectively, of subgroup k.</w:t>
      </w:r>
    </w:p>
    <w:p w14:paraId="4AB107DA" w14:textId="77777777" w:rsidR="00CE613B" w:rsidRDefault="00CE613B" w:rsidP="00CE613B">
      <w:pPr>
        <w:pStyle w:val="Caption"/>
        <w:jc w:val="center"/>
      </w:pPr>
      <w:bookmarkStart w:id="17" w:name="_Toc8117194"/>
    </w:p>
    <w:p w14:paraId="7CBB8EB2" w14:textId="77777777" w:rsidR="00CE613B" w:rsidRDefault="00CE613B" w:rsidP="00CE613B">
      <w:pPr>
        <w:pStyle w:val="Caption"/>
        <w:jc w:val="center"/>
      </w:pPr>
    </w:p>
    <w:p w14:paraId="33F33F16" w14:textId="77777777" w:rsidR="00CE613B" w:rsidRDefault="00CE613B" w:rsidP="00CE613B">
      <w:pPr>
        <w:pStyle w:val="Caption"/>
        <w:jc w:val="center"/>
      </w:pPr>
    </w:p>
    <w:p w14:paraId="32676C1E" w14:textId="425E3A66" w:rsidR="00CE613B" w:rsidRPr="00CE613B" w:rsidRDefault="00CE613B" w:rsidP="00CE613B">
      <w:pPr>
        <w:pStyle w:val="Caption"/>
        <w:jc w:val="center"/>
      </w:pPr>
      <w:r w:rsidRPr="00CE613B">
        <w:lastRenderedPageBreak/>
        <w:t xml:space="preserve">FIGURE </w:t>
      </w:r>
      <w:fldSimple w:instr=" SEQ Figure \* ARABIC ">
        <w:r w:rsidRPr="00CE613B">
          <w:t>2</w:t>
        </w:r>
      </w:fldSimple>
      <w:r w:rsidRPr="00CE613B">
        <w:t>: Individuals Chart</w:t>
      </w:r>
      <w:bookmarkEnd w:id="17"/>
    </w:p>
    <w:p w14:paraId="44AB902B" w14:textId="77777777" w:rsidR="00CE613B" w:rsidRPr="00CE613B" w:rsidRDefault="00CE613B" w:rsidP="00CE613B">
      <w:pPr>
        <w:pStyle w:val="BodyCopy"/>
        <w:jc w:val="center"/>
        <w:rPr>
          <w:b/>
        </w:rPr>
      </w:pPr>
      <w:r w:rsidRPr="00CE613B">
        <w:rPr>
          <w:noProof/>
        </w:rPr>
        <w:drawing>
          <wp:inline distT="0" distB="0" distL="0" distR="0" wp14:anchorId="2F36E66C" wp14:editId="683299D8">
            <wp:extent cx="3657600" cy="220754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7600" cy="2207544"/>
                    </a:xfrm>
                    <a:prstGeom prst="rect">
                      <a:avLst/>
                    </a:prstGeom>
                    <a:noFill/>
                  </pic:spPr>
                </pic:pic>
              </a:graphicData>
            </a:graphic>
          </wp:inline>
        </w:drawing>
      </w:r>
    </w:p>
    <w:p w14:paraId="04C6903A" w14:textId="473F4D62" w:rsidR="00CE613B" w:rsidRPr="00CE613B" w:rsidRDefault="00CE613B" w:rsidP="00CE613B">
      <w:pPr>
        <w:pStyle w:val="BodyCopy"/>
      </w:pPr>
      <w:r w:rsidRPr="00CE613B">
        <w:t>The following equations are used to calculate the Upper Control Limit (UCL), the Lower Control Limit (LCL), and the Average (</w:t>
      </w:r>
      <m:oMath>
        <m:acc>
          <m:accPr>
            <m:chr m:val="̅"/>
            <m:ctrlPr>
              <w:rPr>
                <w:rFonts w:ascii="Cambria Math" w:hAnsi="Cambria Math"/>
                <w:i/>
              </w:rPr>
            </m:ctrlPr>
          </m:accPr>
          <m:e>
            <m:r>
              <w:rPr>
                <w:rFonts w:ascii="Cambria Math" w:hAnsi="Cambria Math"/>
              </w:rPr>
              <m:t>X</m:t>
            </m:r>
          </m:e>
        </m:acc>
      </m:oMath>
      <w:r w:rsidRPr="00CE613B">
        <w:t>) of the Individuals Chart:</w:t>
      </w:r>
    </w:p>
    <w:p w14:paraId="5097A2F0" w14:textId="584CFD68" w:rsidR="00CE613B" w:rsidRPr="00CE613B" w:rsidRDefault="00400413" w:rsidP="00CE613B">
      <w:pPr>
        <w:pStyle w:val="BoxText"/>
        <w:rPr>
          <w:color w:val="6C6463"/>
          <w:szCs w:val="24"/>
        </w:rPr>
      </w:pPr>
      <m:oMathPara>
        <m:oMath>
          <m:acc>
            <m:accPr>
              <m:chr m:val="̅"/>
              <m:ctrlPr>
                <w:rPr>
                  <w:rFonts w:ascii="Cambria Math" w:hAnsi="Cambria Math"/>
                  <w:color w:val="6C6463"/>
                  <w:szCs w:val="24"/>
                </w:rPr>
              </m:ctrlPr>
            </m:accPr>
            <m:e>
              <m:r>
                <w:rPr>
                  <w:rFonts w:ascii="Cambria Math" w:hAnsi="Cambria Math"/>
                </w:rPr>
                <m:t>X</m:t>
              </m:r>
            </m:e>
          </m:acc>
          <m:r>
            <m:rPr>
              <m:sty m:val="p"/>
            </m:rPr>
            <w:rPr>
              <w:rFonts w:ascii="Cambria Math" w:hAnsi="Cambria Math"/>
            </w:rPr>
            <m:t>=</m:t>
          </m:r>
          <m:f>
            <m:fPr>
              <m:ctrlPr>
                <w:rPr>
                  <w:rFonts w:ascii="Cambria Math" w:hAnsi="Cambria Math"/>
                  <w:color w:val="6C6463"/>
                  <w:szCs w:val="24"/>
                </w:rPr>
              </m:ctrlPr>
            </m:fPr>
            <m:num>
              <m:r>
                <m:rPr>
                  <m:sty m:val="p"/>
                </m:rPr>
                <w:rPr>
                  <w:rFonts w:ascii="Cambria Math" w:hAnsi="Cambria Math"/>
                </w:rPr>
                <m:t xml:space="preserve"> </m:t>
              </m:r>
              <m:nary>
                <m:naryPr>
                  <m:chr m:val="∑"/>
                  <m:limLoc m:val="undOvr"/>
                  <m:ctrlPr>
                    <w:rPr>
                      <w:rFonts w:ascii="Cambria Math" w:hAnsi="Cambria Math"/>
                      <w:color w:val="6C6463"/>
                      <w:szCs w:val="24"/>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color w:val="6C6463"/>
                          <w:szCs w:val="24"/>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6452AEEC" w14:textId="09EA01B6" w:rsidR="00CE613B" w:rsidRPr="00CE613B" w:rsidRDefault="00CE613B" w:rsidP="00CE613B">
      <w:pPr>
        <w:pStyle w:val="BoxText"/>
        <w:rPr>
          <w:color w:val="6C6463"/>
          <w:szCs w:val="24"/>
        </w:rPr>
      </w:pPr>
      <m:oMathPara>
        <m:oMath>
          <m:r>
            <w:rPr>
              <w:rFonts w:ascii="Cambria Math" w:hAnsi="Cambria Math"/>
            </w:rPr>
            <m:t>UCL</m:t>
          </m:r>
          <m:r>
            <m:rPr>
              <m:sty m:val="p"/>
            </m:rPr>
            <w:rPr>
              <w:rFonts w:ascii="Cambria Math" w:hAnsi="Cambria Math"/>
            </w:rPr>
            <m:t xml:space="preserve"> =</m:t>
          </m:r>
          <m:acc>
            <m:accPr>
              <m:chr m:val="̅"/>
              <m:ctrlPr>
                <w:rPr>
                  <w:rFonts w:ascii="Cambria Math" w:hAnsi="Cambria Math"/>
                  <w:color w:val="6C6463"/>
                  <w:szCs w:val="24"/>
                </w:rPr>
              </m:ctrlPr>
            </m:accPr>
            <m:e>
              <m:r>
                <w:rPr>
                  <w:rFonts w:ascii="Cambria Math" w:hAnsi="Cambria Math"/>
                </w:rPr>
                <m:t>X</m:t>
              </m:r>
              <m:r>
                <m:rPr>
                  <m:sty m:val="p"/>
                </m:rPr>
                <w:rPr>
                  <w:rFonts w:ascii="Cambria Math" w:hAnsi="Cambria Math"/>
                </w:rPr>
                <m:t xml:space="preserve"> </m:t>
              </m:r>
            </m:e>
          </m:acc>
          <m:r>
            <m:rPr>
              <m:sty m:val="p"/>
            </m:rPr>
            <w:rPr>
              <w:rFonts w:ascii="Cambria Math" w:hAnsi="Cambria Math"/>
            </w:rPr>
            <m:t>+</m:t>
          </m:r>
          <m:f>
            <m:fPr>
              <m:ctrlPr>
                <w:rPr>
                  <w:rFonts w:ascii="Cambria Math" w:hAnsi="Cambria Math"/>
                  <w:color w:val="6C6463"/>
                  <w:szCs w:val="24"/>
                </w:rPr>
              </m:ctrlPr>
            </m:fPr>
            <m:num>
              <m:r>
                <m:rPr>
                  <m:sty m:val="p"/>
                </m:rPr>
                <w:rPr>
                  <w:rFonts w:ascii="Cambria Math" w:hAnsi="Cambria Math"/>
                </w:rPr>
                <m:t>3*</m:t>
              </m:r>
              <m:acc>
                <m:accPr>
                  <m:chr m:val="̅"/>
                  <m:ctrlPr>
                    <w:rPr>
                      <w:rFonts w:ascii="Cambria Math" w:hAnsi="Cambria Math"/>
                      <w:color w:val="6C6463"/>
                      <w:szCs w:val="24"/>
                    </w:rPr>
                  </m:ctrlPr>
                </m:accPr>
                <m:e>
                  <m:r>
                    <w:rPr>
                      <w:rFonts w:ascii="Cambria Math" w:hAnsi="Cambria Math"/>
                    </w:rPr>
                    <m:t>R</m:t>
                  </m:r>
                </m:e>
              </m:acc>
            </m:num>
            <m:den>
              <m:sSub>
                <m:sSubPr>
                  <m:ctrlPr>
                    <w:rPr>
                      <w:rFonts w:ascii="Cambria Math" w:hAnsi="Cambria Math"/>
                      <w:color w:val="6C6463"/>
                      <w:szCs w:val="24"/>
                    </w:rPr>
                  </m:ctrlPr>
                </m:sSubPr>
                <m:e>
                  <m:r>
                    <w:rPr>
                      <w:rFonts w:ascii="Cambria Math" w:hAnsi="Cambria Math"/>
                    </w:rPr>
                    <m:t>d</m:t>
                  </m:r>
                </m:e>
                <m:sub>
                  <m:r>
                    <m:rPr>
                      <m:sty m:val="p"/>
                    </m:rPr>
                    <w:rPr>
                      <w:rFonts w:ascii="Cambria Math" w:hAnsi="Cambria Math"/>
                    </w:rPr>
                    <m:t>2</m:t>
                  </m:r>
                </m:sub>
              </m:sSub>
            </m:den>
          </m:f>
        </m:oMath>
      </m:oMathPara>
    </w:p>
    <w:p w14:paraId="530D767D" w14:textId="535B74ED" w:rsidR="00CE613B" w:rsidRPr="00CE613B" w:rsidRDefault="00CE613B" w:rsidP="00CE613B">
      <w:pPr>
        <w:pStyle w:val="BoxText"/>
        <w:rPr>
          <w:color w:val="6C6463"/>
          <w:szCs w:val="24"/>
        </w:rPr>
      </w:pPr>
      <m:oMathPara>
        <m:oMath>
          <m:r>
            <w:rPr>
              <w:rFonts w:ascii="Cambria Math" w:hAnsi="Cambria Math"/>
            </w:rPr>
            <m:t>LCL</m:t>
          </m:r>
          <m:r>
            <m:rPr>
              <m:sty m:val="p"/>
            </m:rPr>
            <w:rPr>
              <w:rFonts w:ascii="Cambria Math" w:hAnsi="Cambria Math"/>
            </w:rPr>
            <m:t xml:space="preserve"> =</m:t>
          </m:r>
          <m:acc>
            <m:accPr>
              <m:chr m:val="̅"/>
              <m:ctrlPr>
                <w:rPr>
                  <w:rFonts w:ascii="Cambria Math" w:hAnsi="Cambria Math"/>
                  <w:color w:val="6C6463"/>
                  <w:szCs w:val="24"/>
                </w:rPr>
              </m:ctrlPr>
            </m:accPr>
            <m:e>
              <m:r>
                <w:rPr>
                  <w:rFonts w:ascii="Cambria Math" w:hAnsi="Cambria Math"/>
                </w:rPr>
                <m:t>X</m:t>
              </m:r>
              <m:r>
                <m:rPr>
                  <m:sty m:val="p"/>
                </m:rPr>
                <w:rPr>
                  <w:rFonts w:ascii="Cambria Math" w:hAnsi="Cambria Math"/>
                </w:rPr>
                <m:t xml:space="preserve"> </m:t>
              </m:r>
            </m:e>
          </m:acc>
          <m:r>
            <m:rPr>
              <m:sty m:val="p"/>
            </m:rPr>
            <w:rPr>
              <w:rFonts w:ascii="Cambria Math" w:hAnsi="Cambria Math"/>
            </w:rPr>
            <m:t>-</m:t>
          </m:r>
          <m:f>
            <m:fPr>
              <m:ctrlPr>
                <w:rPr>
                  <w:rFonts w:ascii="Cambria Math" w:hAnsi="Cambria Math"/>
                  <w:color w:val="6C6463"/>
                  <w:szCs w:val="24"/>
                </w:rPr>
              </m:ctrlPr>
            </m:fPr>
            <m:num>
              <m:r>
                <m:rPr>
                  <m:sty m:val="p"/>
                </m:rPr>
                <w:rPr>
                  <w:rFonts w:ascii="Cambria Math" w:hAnsi="Cambria Math"/>
                </w:rPr>
                <m:t>3*</m:t>
              </m:r>
              <m:acc>
                <m:accPr>
                  <m:chr m:val="̅"/>
                  <m:ctrlPr>
                    <w:rPr>
                      <w:rFonts w:ascii="Cambria Math" w:hAnsi="Cambria Math"/>
                      <w:color w:val="6C6463"/>
                      <w:szCs w:val="24"/>
                    </w:rPr>
                  </m:ctrlPr>
                </m:accPr>
                <m:e>
                  <m:r>
                    <w:rPr>
                      <w:rFonts w:ascii="Cambria Math" w:hAnsi="Cambria Math"/>
                    </w:rPr>
                    <m:t>R</m:t>
                  </m:r>
                </m:e>
              </m:acc>
            </m:num>
            <m:den>
              <m:sSub>
                <m:sSubPr>
                  <m:ctrlPr>
                    <w:rPr>
                      <w:rFonts w:ascii="Cambria Math" w:hAnsi="Cambria Math"/>
                      <w:color w:val="6C6463"/>
                      <w:szCs w:val="24"/>
                    </w:rPr>
                  </m:ctrlPr>
                </m:sSubPr>
                <m:e>
                  <m:r>
                    <w:rPr>
                      <w:rFonts w:ascii="Cambria Math" w:hAnsi="Cambria Math"/>
                    </w:rPr>
                    <m:t>d</m:t>
                  </m:r>
                </m:e>
                <m:sub>
                  <m:r>
                    <m:rPr>
                      <m:sty m:val="p"/>
                    </m:rPr>
                    <w:rPr>
                      <w:rFonts w:ascii="Cambria Math" w:hAnsi="Cambria Math"/>
                    </w:rPr>
                    <m:t>2</m:t>
                  </m:r>
                </m:sub>
              </m:sSub>
            </m:den>
          </m:f>
        </m:oMath>
      </m:oMathPara>
    </w:p>
    <w:p w14:paraId="468782AF" w14:textId="77777777" w:rsidR="00CE613B" w:rsidRPr="00CE613B" w:rsidRDefault="00CE613B" w:rsidP="00CE613B">
      <w:pPr>
        <w:pStyle w:val="BoxText"/>
      </w:pPr>
      <w:r w:rsidRPr="00CE613B">
        <w:t>Where:</w:t>
      </w:r>
    </w:p>
    <w:p w14:paraId="2FAD7F9A" w14:textId="0C1F9E16" w:rsidR="00CE613B" w:rsidRPr="00CE613B" w:rsidRDefault="00CE613B" w:rsidP="00CE613B">
      <w:pPr>
        <w:pStyle w:val="BoxText"/>
      </w:pPr>
      <w:r w:rsidRPr="00CE613B">
        <w:t>d2 is pulled from the Control Chart Constant table depending on the sample size of the moving range subgroup (See Appendix A).</w:t>
      </w:r>
    </w:p>
    <w:p w14:paraId="2E05059F" w14:textId="77777777" w:rsidR="00CE613B" w:rsidRPr="00CE613B" w:rsidRDefault="00CE613B" w:rsidP="00CE613B">
      <w:pPr>
        <w:pStyle w:val="Head2"/>
        <w:rPr>
          <w:bCs/>
        </w:rPr>
      </w:pPr>
      <w:bookmarkStart w:id="18" w:name="_Toc7986020"/>
      <w:bookmarkStart w:id="19" w:name="_Toc119057758"/>
      <w:r w:rsidRPr="00CE613B">
        <w:rPr>
          <w:bCs/>
        </w:rPr>
        <w:t>Data Quality</w:t>
      </w:r>
      <w:bookmarkEnd w:id="18"/>
      <w:bookmarkEnd w:id="19"/>
    </w:p>
    <w:p w14:paraId="11B573F7" w14:textId="77777777" w:rsidR="00CE613B" w:rsidRPr="00CE613B" w:rsidRDefault="00CE613B" w:rsidP="00CE613B">
      <w:pPr>
        <w:pStyle w:val="Head3"/>
      </w:pPr>
      <w:bookmarkStart w:id="20" w:name="_Toc7986021"/>
      <w:r w:rsidRPr="00CE613B">
        <w:t>Seasonality Adjustment</w:t>
      </w:r>
      <w:bookmarkEnd w:id="20"/>
    </w:p>
    <w:p w14:paraId="792E7DFA" w14:textId="77777777" w:rsidR="00CE613B" w:rsidRPr="00CE613B" w:rsidRDefault="00CE613B" w:rsidP="00CE613B">
      <w:pPr>
        <w:pStyle w:val="BodyCopy"/>
      </w:pPr>
      <w:r w:rsidRPr="00CE613B">
        <w:t>The historical data of seasonal products will need to be adjusted for seasonality to eliminate peaks and valleys that could be misidentified as out-of-control conditions. If historical data is not adjusted for seasonality, fewer irregularities will be identified, and these irregularities will be of the extreme variant.</w:t>
      </w:r>
    </w:p>
    <w:p w14:paraId="07A3E951" w14:textId="77777777" w:rsidR="00CE613B" w:rsidRPr="00CE613B" w:rsidRDefault="00CE613B" w:rsidP="00CE613B">
      <w:pPr>
        <w:pStyle w:val="Head3"/>
      </w:pPr>
      <w:bookmarkStart w:id="21" w:name="_Toc7986022"/>
      <w:r w:rsidRPr="00CE613B">
        <w:t>Outliers</w:t>
      </w:r>
      <w:bookmarkEnd w:id="21"/>
    </w:p>
    <w:p w14:paraId="363A87E4" w14:textId="77777777" w:rsidR="00CE613B" w:rsidRPr="00CE613B" w:rsidRDefault="00CE613B" w:rsidP="00CE613B">
      <w:pPr>
        <w:pStyle w:val="BodyCopy"/>
      </w:pPr>
      <w:r w:rsidRPr="00CE613B">
        <w:t>Outliers in each product’s historical data will need to be removed. If outliers are not removed, the calculations for the statistical process control limits may introduce bias and be inaccurate when identifying irregularities with new data samples.</w:t>
      </w:r>
    </w:p>
    <w:p w14:paraId="7E7C09E5" w14:textId="77777777" w:rsidR="00CE613B" w:rsidRPr="00CE613B" w:rsidRDefault="00CE613B" w:rsidP="00CE613B">
      <w:pPr>
        <w:pStyle w:val="BodyCopy"/>
      </w:pPr>
      <w:r w:rsidRPr="00CE613B">
        <w:t>To identify outliers, the interquartile range rule will be used. This rule states that a data point is considered an outlier if the following conditions are met:</w:t>
      </w:r>
    </w:p>
    <w:p w14:paraId="77948EBF" w14:textId="43FED45C" w:rsidR="00CE613B" w:rsidRPr="00CE613B" w:rsidRDefault="00CE613B" w:rsidP="00CE613B">
      <w:pPr>
        <w:pStyle w:val="BoxText"/>
        <w:rPr>
          <w:color w:val="6C6463"/>
          <w:szCs w:val="24"/>
        </w:rPr>
      </w:pPr>
      <m:oMathPara>
        <m:oMath>
          <m:r>
            <w:rPr>
              <w:rFonts w:ascii="Cambria Math" w:hAnsi="Cambria Math"/>
            </w:rPr>
            <m:t>X</m:t>
          </m:r>
          <m:r>
            <m:rPr>
              <m:sty m:val="p"/>
            </m:rPr>
            <w:rPr>
              <w:rFonts w:ascii="Cambria Math" w:hAnsi="Cambria Math"/>
            </w:rPr>
            <m:t>&gt;</m:t>
          </m:r>
          <m:sSub>
            <m:sSubPr>
              <m:ctrlPr>
                <w:rPr>
                  <w:rFonts w:ascii="Cambria Math" w:hAnsi="Cambria Math"/>
                  <w:color w:val="6C6463"/>
                  <w:szCs w:val="24"/>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+1.5*(</m:t>
          </m:r>
          <m:sSub>
            <m:sSubPr>
              <m:ctrlPr>
                <w:rPr>
                  <w:rFonts w:ascii="Cambria Math" w:hAnsi="Cambria Math"/>
                  <w:color w:val="6C6463"/>
                  <w:szCs w:val="24"/>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m:t>
          </m:r>
          <m:sSub>
            <m:sSubPr>
              <m:ctrlPr>
                <w:rPr>
                  <w:rFonts w:ascii="Cambria Math" w:hAnsi="Cambria Math"/>
                  <w:color w:val="6C6463"/>
                  <w:szCs w:val="24"/>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m:t>
          </m:r>
        </m:oMath>
      </m:oMathPara>
    </w:p>
    <w:p w14:paraId="19353FA2" w14:textId="77777777" w:rsidR="00CE613B" w:rsidRPr="00CE613B" w:rsidRDefault="00CE613B" w:rsidP="00CE613B">
      <w:pPr>
        <w:pStyle w:val="BoxText"/>
        <w:jc w:val="center"/>
      </w:pPr>
      <w:r w:rsidRPr="00CE613B">
        <w:t>or</w:t>
      </w:r>
    </w:p>
    <w:p w14:paraId="2AD6E246" w14:textId="751296DC" w:rsidR="00CE613B" w:rsidRPr="00CE613B" w:rsidRDefault="00CE613B" w:rsidP="00CE613B">
      <w:pPr>
        <w:pStyle w:val="BoxText"/>
        <w:rPr>
          <w:color w:val="6C6463"/>
          <w:szCs w:val="24"/>
        </w:rPr>
      </w:pPr>
      <m:oMathPara>
        <m:oMath>
          <m:r>
            <w:rPr>
              <w:rFonts w:ascii="Cambria Math" w:hAnsi="Cambria Math"/>
            </w:rPr>
            <m:t>X</m:t>
          </m:r>
          <m:r>
            <m:rPr>
              <m:sty m:val="p"/>
            </m:rPr>
            <w:rPr>
              <w:rFonts w:ascii="Cambria Math" w:hAnsi="Cambria Math"/>
            </w:rPr>
            <m:t>&lt;</m:t>
          </m:r>
          <m:sSub>
            <m:sSubPr>
              <m:ctrlPr>
                <w:rPr>
                  <w:rFonts w:ascii="Cambria Math" w:hAnsi="Cambria Math"/>
                  <w:color w:val="6C6463"/>
                  <w:szCs w:val="24"/>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-1.5*(</m:t>
          </m:r>
          <m:sSub>
            <m:sSubPr>
              <m:ctrlPr>
                <w:rPr>
                  <w:rFonts w:ascii="Cambria Math" w:hAnsi="Cambria Math"/>
                  <w:color w:val="6C6463"/>
                  <w:szCs w:val="24"/>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m:t>
          </m:r>
          <m:sSub>
            <m:sSubPr>
              <m:ctrlPr>
                <w:rPr>
                  <w:rFonts w:ascii="Cambria Math" w:hAnsi="Cambria Math"/>
                  <w:color w:val="6C6463"/>
                  <w:szCs w:val="24"/>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m:t>
          </m:r>
        </m:oMath>
      </m:oMathPara>
    </w:p>
    <w:p w14:paraId="10B368A8" w14:textId="77777777" w:rsidR="00CE613B" w:rsidRPr="00CE613B" w:rsidRDefault="00CE613B" w:rsidP="00CE613B">
      <w:pPr>
        <w:pStyle w:val="BoxText"/>
      </w:pPr>
      <w:r w:rsidRPr="00CE613B">
        <w:t>Where:</w:t>
      </w:r>
    </w:p>
    <w:p w14:paraId="4DC2A49C" w14:textId="77777777" w:rsidR="00CE613B" w:rsidRPr="00CE613B" w:rsidRDefault="00CE613B" w:rsidP="00CE613B">
      <w:pPr>
        <w:pStyle w:val="BoxText"/>
      </w:pPr>
      <w:r w:rsidRPr="00CE613B">
        <w:lastRenderedPageBreak/>
        <w:t>Q1 is the first quartile</w:t>
      </w:r>
    </w:p>
    <w:p w14:paraId="3F31DBA0" w14:textId="77777777" w:rsidR="00CE613B" w:rsidRPr="00CE613B" w:rsidRDefault="00CE613B" w:rsidP="00CE613B">
      <w:pPr>
        <w:pStyle w:val="BoxText"/>
      </w:pPr>
      <w:r w:rsidRPr="00CE613B">
        <w:t>Q3 is the third quartile</w:t>
      </w:r>
    </w:p>
    <w:p w14:paraId="76C352A0" w14:textId="77777777" w:rsidR="00CE613B" w:rsidRPr="00CE613B" w:rsidRDefault="00CE613B" w:rsidP="00CE613B">
      <w:pPr>
        <w:pStyle w:val="BoxText"/>
      </w:pPr>
      <w:bookmarkStart w:id="22" w:name="_Toc7986023"/>
      <w:r w:rsidRPr="00CE613B">
        <w:t>Stock on Hand Considerations</w:t>
      </w:r>
      <w:bookmarkEnd w:id="22"/>
    </w:p>
    <w:p w14:paraId="16A06FA5" w14:textId="6F99FCDF" w:rsidR="00CE613B" w:rsidRPr="00CE613B" w:rsidRDefault="00CE613B" w:rsidP="00CE613B">
      <w:pPr>
        <w:pStyle w:val="BodyCopy"/>
      </w:pPr>
      <w:r w:rsidRPr="00CE613B">
        <w:t>If stock on hand for a product at the beginning of the current month or at the end of the previous month is equal to zero, consumption data will be ignored as there is no more product to be consumed.</w:t>
      </w:r>
    </w:p>
    <w:p w14:paraId="23E7D639" w14:textId="77777777" w:rsidR="00CE613B" w:rsidRPr="00CE613B" w:rsidRDefault="00CE613B" w:rsidP="00CE613B">
      <w:pPr>
        <w:pStyle w:val="Head2"/>
        <w:rPr>
          <w:bCs/>
        </w:rPr>
      </w:pPr>
      <w:bookmarkStart w:id="23" w:name="_Toc7986024"/>
      <w:bookmarkStart w:id="24" w:name="_Toc119057759"/>
      <w:r w:rsidRPr="00CE613B">
        <w:rPr>
          <w:bCs/>
        </w:rPr>
        <w:t>Test Rules</w:t>
      </w:r>
      <w:bookmarkEnd w:id="23"/>
      <w:bookmarkEnd w:id="24"/>
    </w:p>
    <w:p w14:paraId="101214EA" w14:textId="77777777" w:rsidR="00CE613B" w:rsidRPr="00CE613B" w:rsidRDefault="00CE613B" w:rsidP="00CE613B">
      <w:pPr>
        <w:pStyle w:val="BodyCopy"/>
      </w:pPr>
      <w:r w:rsidRPr="00CE613B">
        <w:t>Once the statistical control limits have been established, rules can be used to identify irregularities or out-of-control conditions in new data samples from the process, such as:</w:t>
      </w:r>
    </w:p>
    <w:p w14:paraId="20B8FE12" w14:textId="77777777" w:rsidR="00CE613B" w:rsidRPr="00CE613B" w:rsidRDefault="00CE613B" w:rsidP="00CE613B">
      <w:pPr>
        <w:pStyle w:val="BoxBullet"/>
      </w:pPr>
      <w:r w:rsidRPr="00CE613B">
        <w:t>If one or more points falls outside of the UCL or LCL.</w:t>
      </w:r>
    </w:p>
    <w:p w14:paraId="73F7C0B1" w14:textId="77777777" w:rsidR="00CE613B" w:rsidRPr="00CE613B" w:rsidRDefault="00CE613B" w:rsidP="00CE613B">
      <w:pPr>
        <w:pStyle w:val="BoxBullet"/>
      </w:pPr>
      <w:r w:rsidRPr="00CE613B">
        <w:t>7 or more consecutive points on one side of the Average</w:t>
      </w:r>
    </w:p>
    <w:p w14:paraId="02A8436F" w14:textId="77777777" w:rsidR="00CE613B" w:rsidRPr="00CE613B" w:rsidRDefault="00CE613B" w:rsidP="00CE613B">
      <w:pPr>
        <w:pStyle w:val="BoxBullet"/>
      </w:pPr>
      <w:r w:rsidRPr="00CE613B">
        <w:t>7 consecutive points trending up or trending down</w:t>
      </w:r>
    </w:p>
    <w:p w14:paraId="0C2FB9FE" w14:textId="77777777" w:rsidR="00CE613B" w:rsidRPr="00CE613B" w:rsidRDefault="00CE613B" w:rsidP="00CE613B">
      <w:pPr>
        <w:pStyle w:val="BoxBullet"/>
      </w:pPr>
      <w:r w:rsidRPr="00CE613B">
        <w:t>14 consecutive points alternating up and down</w:t>
      </w:r>
    </w:p>
    <w:p w14:paraId="1DFEEF63" w14:textId="77777777" w:rsidR="00CE613B" w:rsidRPr="00CE613B" w:rsidRDefault="00CE613B" w:rsidP="00CE613B">
      <w:pPr>
        <w:pStyle w:val="BodyCopy"/>
      </w:pPr>
    </w:p>
    <w:p w14:paraId="58327694" w14:textId="77777777" w:rsidR="00CE613B" w:rsidRPr="00CE613B" w:rsidRDefault="00CE613B" w:rsidP="00CE613B">
      <w:pPr>
        <w:pStyle w:val="Head2"/>
      </w:pPr>
      <w:bookmarkStart w:id="25" w:name="_Toc7986025"/>
      <w:bookmarkStart w:id="26" w:name="_Toc119057760"/>
      <w:r w:rsidRPr="00CE613B">
        <w:lastRenderedPageBreak/>
        <w:t>Appendix A: Control Chart Constants</w:t>
      </w:r>
      <w:bookmarkEnd w:id="25"/>
      <w:bookmarkEnd w:id="26"/>
    </w:p>
    <w:p w14:paraId="22FC039E" w14:textId="77777777" w:rsidR="00CE613B" w:rsidRPr="00CE613B" w:rsidRDefault="00CE613B" w:rsidP="00CE613B">
      <w:pPr>
        <w:pStyle w:val="BodyCopy"/>
      </w:pPr>
      <w:r w:rsidRPr="00CE613B">
        <w:rPr>
          <w:noProof/>
        </w:rPr>
        <w:drawing>
          <wp:inline distT="0" distB="0" distL="0" distR="0" wp14:anchorId="7844E0C9" wp14:editId="05707FC0">
            <wp:extent cx="5762625" cy="510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2625" cy="5105400"/>
                    </a:xfrm>
                    <a:prstGeom prst="rect">
                      <a:avLst/>
                    </a:prstGeom>
                  </pic:spPr>
                </pic:pic>
              </a:graphicData>
            </a:graphic>
          </wp:inline>
        </w:drawing>
      </w:r>
    </w:p>
    <w:p w14:paraId="39237926" w14:textId="77777777" w:rsidR="00CE613B" w:rsidRPr="00CE613B" w:rsidRDefault="00CE613B" w:rsidP="00CE613B">
      <w:pPr>
        <w:pStyle w:val="BodyCopy"/>
        <w:rPr>
          <w:i/>
        </w:rPr>
      </w:pPr>
      <w:r w:rsidRPr="00CE613B">
        <w:rPr>
          <w:i/>
        </w:rPr>
        <w:t>Source: http://web.mit.edu/2.810/www/files/readings/ControlChartConstantsAndFormulae.pdf</w:t>
      </w:r>
    </w:p>
    <w:p w14:paraId="12C1B2CE" w14:textId="77777777" w:rsidR="00CE613B" w:rsidRPr="00CE613B" w:rsidRDefault="00CE613B" w:rsidP="00CE613B">
      <w:pPr>
        <w:pStyle w:val="BodyCopy"/>
      </w:pPr>
    </w:p>
    <w:sectPr w:rsidR="00CE613B" w:rsidRPr="00CE613B" w:rsidSect="001558E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3B349" w14:textId="77777777" w:rsidR="00EC6645" w:rsidRDefault="00EC6645" w:rsidP="00FC1E58">
      <w:pPr>
        <w:spacing w:after="0" w:line="240" w:lineRule="auto"/>
      </w:pPr>
      <w:r>
        <w:separator/>
      </w:r>
    </w:p>
  </w:endnote>
  <w:endnote w:type="continuationSeparator" w:id="0">
    <w:p w14:paraId="66DEEC90" w14:textId="77777777" w:rsidR="00EC6645" w:rsidRDefault="00EC6645" w:rsidP="00FC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illSansMT-Bold">
    <w:altName w:val="Calibri"/>
    <w:panose1 w:val="00000000000000000000"/>
    <w:charset w:val="4D"/>
    <w:family w:val="auto"/>
    <w:notTrueType/>
    <w:pitch w:val="default"/>
    <w:sig w:usb0="00000003" w:usb1="00000000" w:usb2="00000000" w:usb3="00000000" w:csb0="00000001" w:csb1="00000000"/>
  </w:font>
  <w:font w:name="Gill Sans Std Light">
    <w:altName w:val="Calibri"/>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SansMTStd-Book">
    <w:altName w:val="Arial"/>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1063" w14:textId="77777777" w:rsidR="009713DD" w:rsidRPr="009713DD" w:rsidRDefault="009713DD" w:rsidP="009713DD">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AA21" w14:textId="77777777" w:rsidR="00FC1E58" w:rsidRDefault="00400413" w:rsidP="001F34D2">
    <w:pPr>
      <w:pStyle w:val="Footer"/>
    </w:pPr>
    <w:sdt>
      <w:sdtPr>
        <w:alias w:val="Footer"/>
        <w:tag w:val="Footer"/>
        <w:id w:val="1342510999"/>
        <w:temporary/>
        <w:showingPlcHdr/>
      </w:sdtPr>
      <w:sdtEndPr/>
      <w:sdtContent>
        <w:r w:rsidR="00FC1E58" w:rsidRPr="00B865DF">
          <w:t xml:space="preserve">Click </w:t>
        </w:r>
        <w:r w:rsidR="00FC1E58">
          <w:t>and Type</w:t>
        </w:r>
        <w:r w:rsidR="00FC1E58" w:rsidRPr="00B865DF">
          <w:t xml:space="preserve"> </w:t>
        </w:r>
        <w:r w:rsidR="00FC1E58">
          <w:t>Report Title</w:t>
        </w:r>
      </w:sdtContent>
    </w:sdt>
    <w:r w:rsidR="00FC1E58" w:rsidRPr="00301AA3">
      <w:t xml:space="preserve">   |   </w:t>
    </w:r>
    <w:r w:rsidR="00FC1E58" w:rsidRPr="00301AA3">
      <w:fldChar w:fldCharType="begin"/>
    </w:r>
    <w:r w:rsidR="00FC1E58" w:rsidRPr="00301AA3">
      <w:instrText xml:space="preserve"> PAGE </w:instrText>
    </w:r>
    <w:r w:rsidR="00FC1E58" w:rsidRPr="00301AA3">
      <w:fldChar w:fldCharType="separate"/>
    </w:r>
    <w:r w:rsidR="009713DD">
      <w:rPr>
        <w:noProof/>
      </w:rPr>
      <w:t>2</w:t>
    </w:r>
    <w:r w:rsidR="00FC1E58" w:rsidRPr="00301AA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FEB82" w14:textId="714122AD" w:rsidR="009713DD" w:rsidRPr="009713DD" w:rsidRDefault="00CE613B" w:rsidP="009713DD">
    <w:pPr>
      <w:pStyle w:val="Footer"/>
      <w:spacing w:after="100"/>
    </w:pPr>
    <w:r>
      <w:t>Consumption Anomalies Tool User Guide</w:t>
    </w:r>
    <w:r w:rsidR="009713DD" w:rsidRPr="00301AA3">
      <w:t xml:space="preserve">   |   </w:t>
    </w:r>
    <w:r w:rsidR="009713DD" w:rsidRPr="00301AA3">
      <w:fldChar w:fldCharType="begin"/>
    </w:r>
    <w:r w:rsidR="009713DD" w:rsidRPr="00301AA3">
      <w:instrText xml:space="preserve"> PAGE </w:instrText>
    </w:r>
    <w:r w:rsidR="009713DD" w:rsidRPr="00301AA3">
      <w:fldChar w:fldCharType="separate"/>
    </w:r>
    <w:r w:rsidR="004F06B5">
      <w:rPr>
        <w:noProof/>
      </w:rPr>
      <w:t>7</w:t>
    </w:r>
    <w:r w:rsidR="009713DD" w:rsidRPr="00301AA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30DA" w14:textId="77777777" w:rsidR="009713DD" w:rsidRDefault="00400413" w:rsidP="001F34D2">
    <w:pPr>
      <w:pStyle w:val="Footer"/>
    </w:pPr>
    <w:sdt>
      <w:sdtPr>
        <w:alias w:val="Footer"/>
        <w:tag w:val="Footer"/>
        <w:id w:val="562994116"/>
        <w:temporary/>
        <w:showingPlcHdr/>
      </w:sdtPr>
      <w:sdtEndPr/>
      <w:sdtContent>
        <w:r w:rsidR="009713DD" w:rsidRPr="00B865DF">
          <w:t xml:space="preserve">Click </w:t>
        </w:r>
        <w:r w:rsidR="009713DD">
          <w:t>and Type</w:t>
        </w:r>
        <w:r w:rsidR="009713DD" w:rsidRPr="00B865DF">
          <w:t xml:space="preserve"> </w:t>
        </w:r>
        <w:r w:rsidR="009713DD">
          <w:t>Report Title</w:t>
        </w:r>
      </w:sdtContent>
    </w:sdt>
    <w:r w:rsidR="009713DD" w:rsidRPr="00301AA3">
      <w:t xml:space="preserve">   |   </w:t>
    </w:r>
    <w:r w:rsidR="009713DD" w:rsidRPr="00301AA3">
      <w:fldChar w:fldCharType="begin"/>
    </w:r>
    <w:r w:rsidR="009713DD" w:rsidRPr="00301AA3">
      <w:instrText xml:space="preserve"> PAGE </w:instrText>
    </w:r>
    <w:r w:rsidR="009713DD" w:rsidRPr="00301AA3">
      <w:fldChar w:fldCharType="separate"/>
    </w:r>
    <w:r w:rsidR="009713DD">
      <w:rPr>
        <w:noProof/>
      </w:rPr>
      <w:t>2</w:t>
    </w:r>
    <w:r w:rsidR="009713DD" w:rsidRPr="00301A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95D4" w14:textId="77777777" w:rsidR="00EC6645" w:rsidRPr="000F3ED6" w:rsidRDefault="00EC6645" w:rsidP="00193FAB">
      <w:pPr>
        <w:pStyle w:val="FootnoteSeparator"/>
        <w:spacing w:before="240"/>
      </w:pPr>
      <w:r w:rsidRPr="000F3ED6">
        <w:separator/>
      </w:r>
    </w:p>
  </w:footnote>
  <w:footnote w:type="continuationSeparator" w:id="0">
    <w:p w14:paraId="0438C5FA" w14:textId="77777777" w:rsidR="00EC6645" w:rsidRDefault="00EC6645" w:rsidP="00FC1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F3F"/>
    <w:multiLevelType w:val="multilevel"/>
    <w:tmpl w:val="0EEE1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86DD0"/>
    <w:multiLevelType w:val="hybridMultilevel"/>
    <w:tmpl w:val="22EE7CC8"/>
    <w:lvl w:ilvl="0" w:tplc="BE94BA6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695957"/>
    <w:multiLevelType w:val="multilevel"/>
    <w:tmpl w:val="30C0B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B563B"/>
    <w:multiLevelType w:val="hybridMultilevel"/>
    <w:tmpl w:val="26528352"/>
    <w:lvl w:ilvl="0" w:tplc="BE94BA6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7B6824"/>
    <w:multiLevelType w:val="hybridMultilevel"/>
    <w:tmpl w:val="2518627E"/>
    <w:lvl w:ilvl="0" w:tplc="F710B40E">
      <w:start w:val="1"/>
      <w:numFmt w:val="bullet"/>
      <w:pStyle w:val="Box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068D8"/>
    <w:multiLevelType w:val="hybridMultilevel"/>
    <w:tmpl w:val="7BFE26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47776"/>
    <w:multiLevelType w:val="hybridMultilevel"/>
    <w:tmpl w:val="6EEAA9F0"/>
    <w:lvl w:ilvl="0" w:tplc="DEE0F4F8">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w:hAnsi="Courier"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w:hAnsi="Courier"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w:hAnsi="Courier" w:hint="default"/>
      </w:rPr>
    </w:lvl>
    <w:lvl w:ilvl="8" w:tplc="04090005" w:tentative="1">
      <w:start w:val="1"/>
      <w:numFmt w:val="bullet"/>
      <w:lvlText w:val=""/>
      <w:lvlJc w:val="left"/>
      <w:pPr>
        <w:ind w:left="6754" w:hanging="360"/>
      </w:pPr>
      <w:rPr>
        <w:rFonts w:ascii="Wingdings" w:hAnsi="Wingdings" w:hint="default"/>
      </w:rPr>
    </w:lvl>
  </w:abstractNum>
  <w:abstractNum w:abstractNumId="7" w15:restartNumberingAfterBreak="0">
    <w:nsid w:val="37450D70"/>
    <w:multiLevelType w:val="hybridMultilevel"/>
    <w:tmpl w:val="BE08EBB4"/>
    <w:lvl w:ilvl="0" w:tplc="F25C5364">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06A1B"/>
    <w:multiLevelType w:val="hybridMultilevel"/>
    <w:tmpl w:val="B02C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87DE8"/>
    <w:multiLevelType w:val="multilevel"/>
    <w:tmpl w:val="EEB0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97A39"/>
    <w:multiLevelType w:val="hybridMultilevel"/>
    <w:tmpl w:val="A9C0AD36"/>
    <w:lvl w:ilvl="0" w:tplc="BE94B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6A4A09"/>
    <w:multiLevelType w:val="hybridMultilevel"/>
    <w:tmpl w:val="E5708014"/>
    <w:lvl w:ilvl="0" w:tplc="16CE1F66">
      <w:start w:val="1"/>
      <w:numFmt w:val="bullet"/>
      <w:pStyle w:val="TableBullets"/>
      <w:lvlText w:val="–"/>
      <w:lvlJc w:val="left"/>
      <w:pPr>
        <w:ind w:left="903" w:hanging="360"/>
      </w:pPr>
      <w:rPr>
        <w:rFonts w:ascii="Gill Sans MT" w:hAnsi="Gill Sans MT"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2" w15:restartNumberingAfterBreak="0">
    <w:nsid w:val="62510250"/>
    <w:multiLevelType w:val="hybridMultilevel"/>
    <w:tmpl w:val="6A10528A"/>
    <w:lvl w:ilvl="0" w:tplc="A93606CE">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44478"/>
    <w:multiLevelType w:val="hybridMultilevel"/>
    <w:tmpl w:val="2D5C8DAE"/>
    <w:lvl w:ilvl="0" w:tplc="DA9E8A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058DE"/>
    <w:multiLevelType w:val="multilevel"/>
    <w:tmpl w:val="F0383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1C4B23"/>
    <w:multiLevelType w:val="hybridMultilevel"/>
    <w:tmpl w:val="45F8BFC4"/>
    <w:lvl w:ilvl="0" w:tplc="C1686E9A">
      <w:start w:val="1"/>
      <w:numFmt w:val="bullet"/>
      <w:pStyle w:val="Bullet"/>
      <w:lvlText w:val=""/>
      <w:lvlJc w:val="left"/>
      <w:pPr>
        <w:ind w:left="720" w:hanging="360"/>
      </w:pPr>
      <w:rPr>
        <w:rFonts w:ascii="Symbol" w:hAnsi="Symbol" w:hint="default"/>
      </w:rPr>
    </w:lvl>
    <w:lvl w:ilvl="1" w:tplc="94AC2D7A">
      <w:start w:val="1"/>
      <w:numFmt w:val="bullet"/>
      <w:pStyle w:val="Bullet2"/>
      <w:lvlText w:val="o"/>
      <w:lvlJc w:val="left"/>
      <w:pPr>
        <w:ind w:left="1440" w:hanging="360"/>
      </w:pPr>
      <w:rPr>
        <w:rFonts w:ascii="Courier New" w:hAnsi="Courier New" w:cs="Courier New" w:hint="default"/>
      </w:rPr>
    </w:lvl>
    <w:lvl w:ilvl="2" w:tplc="339C3FD2">
      <w:start w:val="1"/>
      <w:numFmt w:val="bullet"/>
      <w:pStyle w:val="Bullet3"/>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E103C"/>
    <w:multiLevelType w:val="hybridMultilevel"/>
    <w:tmpl w:val="5442E216"/>
    <w:lvl w:ilvl="0" w:tplc="A8182DA4">
      <w:numFmt w:val="bullet"/>
      <w:lvlText w:val="-"/>
      <w:lvlJc w:val="left"/>
      <w:pPr>
        <w:ind w:left="720" w:hanging="360"/>
      </w:pPr>
      <w:rPr>
        <w:rFonts w:ascii="Gill Sans MT" w:eastAsia="Times New Roman"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84027"/>
    <w:multiLevelType w:val="hybridMultilevel"/>
    <w:tmpl w:val="BA8C3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26C9B"/>
    <w:multiLevelType w:val="hybridMultilevel"/>
    <w:tmpl w:val="95964122"/>
    <w:lvl w:ilvl="0" w:tplc="E81E4A8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7F913F5B"/>
    <w:multiLevelType w:val="multilevel"/>
    <w:tmpl w:val="809E9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2"/>
  </w:num>
  <w:num w:numId="4">
    <w:abstractNumId w:val="7"/>
  </w:num>
  <w:num w:numId="5">
    <w:abstractNumId w:val="11"/>
  </w:num>
  <w:num w:numId="6">
    <w:abstractNumId w:val="4"/>
  </w:num>
  <w:num w:numId="7">
    <w:abstractNumId w:val="16"/>
  </w:num>
  <w:num w:numId="8">
    <w:abstractNumId w:val="13"/>
  </w:num>
  <w:num w:numId="9">
    <w:abstractNumId w:val="9"/>
  </w:num>
  <w:num w:numId="10">
    <w:abstractNumId w:val="19"/>
  </w:num>
  <w:num w:numId="11">
    <w:abstractNumId w:val="2"/>
  </w:num>
  <w:num w:numId="12">
    <w:abstractNumId w:val="14"/>
  </w:num>
  <w:num w:numId="13">
    <w:abstractNumId w:val="0"/>
  </w:num>
  <w:num w:numId="14">
    <w:abstractNumId w:val="10"/>
  </w:num>
  <w:num w:numId="15">
    <w:abstractNumId w:val="1"/>
  </w:num>
  <w:num w:numId="16">
    <w:abstractNumId w:val="8"/>
  </w:num>
  <w:num w:numId="17">
    <w:abstractNumId w:val="18"/>
  </w:num>
  <w:num w:numId="18">
    <w:abstractNumId w:val="5"/>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08"/>
    <w:rsid w:val="00055E54"/>
    <w:rsid w:val="00064E5E"/>
    <w:rsid w:val="00075FF8"/>
    <w:rsid w:val="00097988"/>
    <w:rsid w:val="000F3ED6"/>
    <w:rsid w:val="00124B22"/>
    <w:rsid w:val="001558E0"/>
    <w:rsid w:val="00157B34"/>
    <w:rsid w:val="00193FAB"/>
    <w:rsid w:val="001958A9"/>
    <w:rsid w:val="001B5837"/>
    <w:rsid w:val="001C1D61"/>
    <w:rsid w:val="001E4E8A"/>
    <w:rsid w:val="001F34D2"/>
    <w:rsid w:val="00202B91"/>
    <w:rsid w:val="002070CE"/>
    <w:rsid w:val="00211144"/>
    <w:rsid w:val="00216A3D"/>
    <w:rsid w:val="002244C1"/>
    <w:rsid w:val="0023270F"/>
    <w:rsid w:val="00244A24"/>
    <w:rsid w:val="00251266"/>
    <w:rsid w:val="00277915"/>
    <w:rsid w:val="002964BF"/>
    <w:rsid w:val="002D5102"/>
    <w:rsid w:val="00314D3C"/>
    <w:rsid w:val="00322BE6"/>
    <w:rsid w:val="00365E95"/>
    <w:rsid w:val="003857EF"/>
    <w:rsid w:val="003B79E3"/>
    <w:rsid w:val="003C2AB3"/>
    <w:rsid w:val="003D1B64"/>
    <w:rsid w:val="003D6E88"/>
    <w:rsid w:val="003E3C2E"/>
    <w:rsid w:val="00400413"/>
    <w:rsid w:val="00400A1E"/>
    <w:rsid w:val="00421E08"/>
    <w:rsid w:val="0044684F"/>
    <w:rsid w:val="00467D6E"/>
    <w:rsid w:val="0047663E"/>
    <w:rsid w:val="00480665"/>
    <w:rsid w:val="004B2047"/>
    <w:rsid w:val="004C669F"/>
    <w:rsid w:val="004D7C96"/>
    <w:rsid w:val="004E502F"/>
    <w:rsid w:val="004E6B51"/>
    <w:rsid w:val="004F06B5"/>
    <w:rsid w:val="004F22A9"/>
    <w:rsid w:val="004F4272"/>
    <w:rsid w:val="00501553"/>
    <w:rsid w:val="005216ED"/>
    <w:rsid w:val="00533492"/>
    <w:rsid w:val="00583BD7"/>
    <w:rsid w:val="00590316"/>
    <w:rsid w:val="00590499"/>
    <w:rsid w:val="005B1998"/>
    <w:rsid w:val="005B7C49"/>
    <w:rsid w:val="00680397"/>
    <w:rsid w:val="00695EF9"/>
    <w:rsid w:val="006C3676"/>
    <w:rsid w:val="006C7C1B"/>
    <w:rsid w:val="006E505B"/>
    <w:rsid w:val="006F0875"/>
    <w:rsid w:val="00716CCE"/>
    <w:rsid w:val="00722349"/>
    <w:rsid w:val="00742826"/>
    <w:rsid w:val="00743F1B"/>
    <w:rsid w:val="00744AE5"/>
    <w:rsid w:val="00770E8D"/>
    <w:rsid w:val="00782394"/>
    <w:rsid w:val="007A000C"/>
    <w:rsid w:val="007A1975"/>
    <w:rsid w:val="007C7C4C"/>
    <w:rsid w:val="007D70D4"/>
    <w:rsid w:val="008010CE"/>
    <w:rsid w:val="008202F3"/>
    <w:rsid w:val="00833318"/>
    <w:rsid w:val="00876808"/>
    <w:rsid w:val="008802CF"/>
    <w:rsid w:val="0089213A"/>
    <w:rsid w:val="00895A9D"/>
    <w:rsid w:val="008A3741"/>
    <w:rsid w:val="008C1D5E"/>
    <w:rsid w:val="008C60E4"/>
    <w:rsid w:val="008E2B6A"/>
    <w:rsid w:val="008E6CF1"/>
    <w:rsid w:val="009036E4"/>
    <w:rsid w:val="009051B3"/>
    <w:rsid w:val="00915FA2"/>
    <w:rsid w:val="009416DC"/>
    <w:rsid w:val="009442F2"/>
    <w:rsid w:val="0095191A"/>
    <w:rsid w:val="009713DD"/>
    <w:rsid w:val="009E34DA"/>
    <w:rsid w:val="009E6067"/>
    <w:rsid w:val="009F2B93"/>
    <w:rsid w:val="009F2CDF"/>
    <w:rsid w:val="00A07E51"/>
    <w:rsid w:val="00A10D69"/>
    <w:rsid w:val="00A20819"/>
    <w:rsid w:val="00A362BD"/>
    <w:rsid w:val="00A460EE"/>
    <w:rsid w:val="00AA29F7"/>
    <w:rsid w:val="00AA7970"/>
    <w:rsid w:val="00AE0BB5"/>
    <w:rsid w:val="00B56F32"/>
    <w:rsid w:val="00B77833"/>
    <w:rsid w:val="00BE33B9"/>
    <w:rsid w:val="00BF77BF"/>
    <w:rsid w:val="00C15ACC"/>
    <w:rsid w:val="00C7387A"/>
    <w:rsid w:val="00CE2C23"/>
    <w:rsid w:val="00CE613B"/>
    <w:rsid w:val="00D01D63"/>
    <w:rsid w:val="00D11B25"/>
    <w:rsid w:val="00D1681C"/>
    <w:rsid w:val="00D2316A"/>
    <w:rsid w:val="00D75C82"/>
    <w:rsid w:val="00DB428C"/>
    <w:rsid w:val="00E03F61"/>
    <w:rsid w:val="00E11DD6"/>
    <w:rsid w:val="00E45FBB"/>
    <w:rsid w:val="00E60F11"/>
    <w:rsid w:val="00E87F87"/>
    <w:rsid w:val="00EA25F4"/>
    <w:rsid w:val="00EA4201"/>
    <w:rsid w:val="00EA50E3"/>
    <w:rsid w:val="00EA7D1D"/>
    <w:rsid w:val="00EC0E83"/>
    <w:rsid w:val="00EC6645"/>
    <w:rsid w:val="00EC7974"/>
    <w:rsid w:val="00F04AB4"/>
    <w:rsid w:val="00F16E08"/>
    <w:rsid w:val="00F85B5D"/>
    <w:rsid w:val="00FA70AF"/>
    <w:rsid w:val="00FB4542"/>
    <w:rsid w:val="00FC1E58"/>
    <w:rsid w:val="00FC36DF"/>
    <w:rsid w:val="00FF4570"/>
    <w:rsid w:val="00FF49C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7F1F63"/>
  <w15:docId w15:val="{2BFBB3CE-CCCE-A641-B4EE-68750EEE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E3"/>
  </w:style>
  <w:style w:type="paragraph" w:styleId="Heading1">
    <w:name w:val="heading 1"/>
    <w:basedOn w:val="Head1"/>
    <w:next w:val="BodyCopy"/>
    <w:link w:val="Heading1Char"/>
    <w:uiPriority w:val="9"/>
    <w:qFormat/>
    <w:rsid w:val="00FF49CB"/>
  </w:style>
  <w:style w:type="paragraph" w:styleId="Heading2">
    <w:name w:val="heading 2"/>
    <w:basedOn w:val="Head2"/>
    <w:next w:val="BodyCopy"/>
    <w:link w:val="Heading2Char"/>
    <w:uiPriority w:val="9"/>
    <w:unhideWhenUsed/>
    <w:qFormat/>
    <w:rsid w:val="00277915"/>
    <w:rPr>
      <w:b w:val="0"/>
    </w:rPr>
  </w:style>
  <w:style w:type="paragraph" w:styleId="Heading3">
    <w:name w:val="heading 3"/>
    <w:basedOn w:val="Head3"/>
    <w:next w:val="Normal"/>
    <w:link w:val="Heading3Char"/>
    <w:uiPriority w:val="9"/>
    <w:unhideWhenUsed/>
    <w:rsid w:val="00277915"/>
    <w:rPr>
      <w:b w:val="0"/>
    </w:rPr>
  </w:style>
  <w:style w:type="paragraph" w:styleId="Heading4">
    <w:name w:val="heading 4"/>
    <w:basedOn w:val="Head4"/>
    <w:next w:val="Normal"/>
    <w:link w:val="Heading4Char"/>
    <w:uiPriority w:val="9"/>
    <w:unhideWhenUsed/>
    <w:rsid w:val="00277915"/>
    <w:rPr>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CB"/>
    <w:rPr>
      <w:rFonts w:ascii="Gill Sans MT" w:eastAsia="Times New Roman" w:hAnsi="Gill Sans MT" w:cs="Times New Roman"/>
      <w:b/>
      <w:bCs/>
      <w:color w:val="C2113A"/>
      <w:sz w:val="40"/>
      <w:szCs w:val="52"/>
    </w:rPr>
  </w:style>
  <w:style w:type="character" w:customStyle="1" w:styleId="Heading2Char">
    <w:name w:val="Heading 2 Char"/>
    <w:basedOn w:val="DefaultParagraphFont"/>
    <w:link w:val="Heading2"/>
    <w:uiPriority w:val="9"/>
    <w:rsid w:val="00277915"/>
    <w:rPr>
      <w:rFonts w:ascii="Gill Sans MT" w:eastAsia="Times New Roman" w:hAnsi="Gill Sans MT" w:cs="Times New Roman"/>
      <w:color w:val="002F6C" w:themeColor="text2"/>
      <w:sz w:val="28"/>
      <w:szCs w:val="28"/>
    </w:rPr>
  </w:style>
  <w:style w:type="character" w:customStyle="1" w:styleId="Heading3Char">
    <w:name w:val="Heading 3 Char"/>
    <w:basedOn w:val="DefaultParagraphFont"/>
    <w:link w:val="Heading3"/>
    <w:uiPriority w:val="9"/>
    <w:rsid w:val="00277915"/>
    <w:rPr>
      <w:rFonts w:ascii="Gill Sans MT" w:eastAsia="Times New Roman" w:hAnsi="Gill Sans MT" w:cs="Times New Roman"/>
      <w:bCs/>
      <w:color w:val="6C6463"/>
    </w:rPr>
  </w:style>
  <w:style w:type="character" w:customStyle="1" w:styleId="Heading4Char">
    <w:name w:val="Heading 4 Char"/>
    <w:basedOn w:val="DefaultParagraphFont"/>
    <w:link w:val="Heading4"/>
    <w:uiPriority w:val="9"/>
    <w:rsid w:val="00277915"/>
    <w:rPr>
      <w:rFonts w:ascii="Gill Sans MT" w:eastAsia="Times New Roman" w:hAnsi="Gill Sans MT" w:cs="Times New Roman"/>
      <w:color w:val="6C6463"/>
      <w:szCs w:val="24"/>
    </w:rPr>
  </w:style>
  <w:style w:type="table" w:customStyle="1" w:styleId="GHSC-PSMTable">
    <w:name w:val="GHSC-PSM Table"/>
    <w:basedOn w:val="TableNormal"/>
    <w:uiPriority w:val="99"/>
    <w:rsid w:val="00895A9D"/>
    <w:pPr>
      <w:spacing w:after="0" w:line="240" w:lineRule="auto"/>
    </w:pPr>
    <w:rPr>
      <w:color w:val="FFFFFF" w:themeColor="background1"/>
    </w:rPr>
    <w:tblPr>
      <w:tblStyleRowBandSize w:val="1"/>
      <w:tblCellMar>
        <w:top w:w="86" w:type="dxa"/>
        <w:left w:w="86" w:type="dxa"/>
        <w:bottom w:w="86" w:type="dxa"/>
        <w:right w:w="86" w:type="dxa"/>
      </w:tblCellMar>
    </w:tblPr>
    <w:tblStylePr w:type="firstRow">
      <w:pPr>
        <w:wordWrap/>
        <w:spacing w:beforeLines="0" w:before="0" w:beforeAutospacing="0" w:afterLines="0" w:after="0" w:afterAutospacing="0"/>
        <w:jc w:val="left"/>
      </w:pPr>
      <w:rPr>
        <w:rFonts w:ascii="GillSansMT-Bold" w:hAnsi="GillSansMT-Bold"/>
        <w:b/>
        <w:color w:val="FFFFFF" w:themeColor="background1"/>
        <w:sz w:val="20"/>
      </w:rPr>
      <w:tblPr/>
      <w:tcPr>
        <w:shd w:val="clear" w:color="auto" w:fill="002F6C"/>
        <w:vAlign w:val="bottom"/>
      </w:tcPr>
    </w:tblStylePr>
    <w:tblStylePr w:type="lastRow">
      <w:pPr>
        <w:wordWrap/>
        <w:spacing w:beforeLines="0" w:before="0" w:beforeAutospacing="0" w:afterLines="0" w:after="0" w:afterAutospacing="0" w:line="240" w:lineRule="auto"/>
      </w:pPr>
    </w:tblStylePr>
    <w:tblStylePr w:type="band1Horz">
      <w:pPr>
        <w:wordWrap/>
        <w:spacing w:beforeLines="0" w:before="0" w:beforeAutospacing="0" w:afterLines="0" w:after="0" w:afterAutospacing="0"/>
        <w:jc w:val="left"/>
      </w:pPr>
      <w:rPr>
        <w:rFonts w:ascii="GillSansMT-Bold" w:hAnsi="GillSansMT-Bold"/>
        <w:color w:val="6C6463"/>
        <w:sz w:val="20"/>
      </w:rPr>
    </w:tblStylePr>
    <w:tblStylePr w:type="band2Horz">
      <w:pPr>
        <w:wordWrap/>
        <w:spacing w:beforeLines="0" w:before="0" w:beforeAutospacing="0" w:afterLines="0" w:after="0" w:afterAutospacing="0" w:line="240" w:lineRule="auto"/>
        <w:jc w:val="left"/>
      </w:pPr>
      <w:rPr>
        <w:rFonts w:ascii="GillSansMT-Bold" w:hAnsi="GillSansMT-Bold"/>
        <w:b w:val="0"/>
        <w:color w:val="6C6463"/>
        <w:sz w:val="20"/>
      </w:rPr>
      <w:tblPr/>
      <w:tcPr>
        <w:shd w:val="clear" w:color="auto" w:fill="E6E6E6"/>
      </w:tcPr>
    </w:tblStylePr>
  </w:style>
  <w:style w:type="paragraph" w:customStyle="1" w:styleId="PhotoCaption">
    <w:name w:val="*Photo Caption"/>
    <w:qFormat/>
    <w:rsid w:val="00915FA2"/>
    <w:rPr>
      <w:rFonts w:ascii="Gill Sans Std Light" w:hAnsi="Gill Sans Std Light"/>
      <w:color w:val="002F6C" w:themeColor="text2"/>
      <w:sz w:val="18"/>
      <w:szCs w:val="18"/>
    </w:rPr>
  </w:style>
  <w:style w:type="table" w:styleId="TableGrid">
    <w:name w:val="Table Grid"/>
    <w:basedOn w:val="TableNormal"/>
    <w:uiPriority w:val="39"/>
    <w:rsid w:val="00FC1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ronyms">
    <w:name w:val="*Acronyms"/>
    <w:qFormat/>
    <w:rsid w:val="00202B91"/>
    <w:pPr>
      <w:spacing w:after="20" w:line="240" w:lineRule="auto"/>
      <w:ind w:left="274" w:hanging="274"/>
    </w:pPr>
    <w:rPr>
      <w:rFonts w:ascii="Gill Sans MT" w:eastAsia="Times New Roman" w:hAnsi="Gill Sans MT" w:cs="Times New Roman"/>
      <w:color w:val="6C6463"/>
    </w:rPr>
  </w:style>
  <w:style w:type="paragraph" w:customStyle="1" w:styleId="BodyCopy">
    <w:name w:val="*Body Copy"/>
    <w:qFormat/>
    <w:rsid w:val="00467D6E"/>
    <w:pPr>
      <w:spacing w:after="220" w:line="247" w:lineRule="auto"/>
    </w:pPr>
    <w:rPr>
      <w:rFonts w:ascii="Gill Sans MT" w:eastAsia="Times New Roman" w:hAnsi="Gill Sans MT" w:cs="Times New Roman"/>
      <w:color w:val="6C6463"/>
      <w:szCs w:val="24"/>
    </w:rPr>
  </w:style>
  <w:style w:type="paragraph" w:customStyle="1" w:styleId="Bullet">
    <w:name w:val="*Bullet"/>
    <w:link w:val="BulletChar"/>
    <w:qFormat/>
    <w:rsid w:val="00467D6E"/>
    <w:pPr>
      <w:numPr>
        <w:numId w:val="2"/>
      </w:numPr>
      <w:spacing w:before="120" w:after="0" w:line="240" w:lineRule="atLeast"/>
    </w:pPr>
    <w:rPr>
      <w:rFonts w:ascii="Gill Sans MT" w:eastAsia="Times New Roman" w:hAnsi="Gill Sans MT" w:cs="Times New Roman"/>
      <w:color w:val="6C6463"/>
      <w:szCs w:val="24"/>
    </w:rPr>
  </w:style>
  <w:style w:type="character" w:customStyle="1" w:styleId="BulletChar">
    <w:name w:val="*Bullet Char"/>
    <w:basedOn w:val="DefaultParagraphFont"/>
    <w:link w:val="Bullet"/>
    <w:rsid w:val="00467D6E"/>
    <w:rPr>
      <w:rFonts w:ascii="Gill Sans MT" w:eastAsia="Times New Roman" w:hAnsi="Gill Sans MT" w:cs="Times New Roman"/>
      <w:color w:val="6C6463"/>
      <w:szCs w:val="24"/>
    </w:rPr>
  </w:style>
  <w:style w:type="paragraph" w:customStyle="1" w:styleId="Footer">
    <w:name w:val="*Footer"/>
    <w:link w:val="FooterChar"/>
    <w:qFormat/>
    <w:rsid w:val="00895A9D"/>
    <w:pPr>
      <w:spacing w:after="0" w:line="240" w:lineRule="auto"/>
      <w:jc w:val="center"/>
    </w:pPr>
    <w:rPr>
      <w:rFonts w:ascii="Gill Sans MT" w:eastAsia="Times New Roman" w:hAnsi="Gill Sans MT" w:cs="Times New Roman"/>
      <w:color w:val="6C6463" w:themeColor="accent4"/>
      <w:sz w:val="16"/>
      <w:szCs w:val="24"/>
    </w:rPr>
  </w:style>
  <w:style w:type="character" w:customStyle="1" w:styleId="FooterChar">
    <w:name w:val="*Footer Char"/>
    <w:basedOn w:val="DefaultParagraphFont"/>
    <w:link w:val="Footer"/>
    <w:rsid w:val="00895A9D"/>
    <w:rPr>
      <w:rFonts w:ascii="Gill Sans MT" w:eastAsia="Times New Roman" w:hAnsi="Gill Sans MT" w:cs="Times New Roman"/>
      <w:color w:val="6C6463" w:themeColor="accent4"/>
      <w:sz w:val="16"/>
      <w:szCs w:val="24"/>
    </w:rPr>
  </w:style>
  <w:style w:type="character" w:styleId="FootnoteReference">
    <w:name w:val="footnote reference"/>
    <w:basedOn w:val="DefaultParagraphFont"/>
    <w:uiPriority w:val="99"/>
    <w:semiHidden/>
    <w:unhideWhenUsed/>
    <w:rsid w:val="00FC1E58"/>
    <w:rPr>
      <w:vertAlign w:val="superscript"/>
    </w:rPr>
  </w:style>
  <w:style w:type="paragraph" w:customStyle="1" w:styleId="Footnote">
    <w:name w:val="*Footnote"/>
    <w:qFormat/>
    <w:rsid w:val="00895A9D"/>
    <w:pPr>
      <w:spacing w:after="0" w:line="240" w:lineRule="auto"/>
    </w:pPr>
    <w:rPr>
      <w:rFonts w:ascii="Gill Sans MT" w:eastAsia="Times New Roman" w:hAnsi="Gill Sans MT" w:cs="Times New Roman"/>
      <w:color w:val="6C6463" w:themeColor="accent4"/>
      <w:sz w:val="20"/>
      <w:szCs w:val="24"/>
    </w:rPr>
  </w:style>
  <w:style w:type="paragraph" w:customStyle="1" w:styleId="Head3">
    <w:name w:val="*Head 3"/>
    <w:next w:val="BodyCopy"/>
    <w:qFormat/>
    <w:rsid w:val="003D1B64"/>
    <w:pPr>
      <w:spacing w:before="220" w:after="220" w:line="240" w:lineRule="auto"/>
      <w:outlineLvl w:val="2"/>
    </w:pPr>
    <w:rPr>
      <w:rFonts w:ascii="Gill Sans MT" w:eastAsia="Times New Roman" w:hAnsi="Gill Sans MT" w:cs="Times New Roman"/>
      <w:b/>
      <w:bCs/>
      <w:color w:val="6C6463"/>
    </w:rPr>
  </w:style>
  <w:style w:type="paragraph" w:customStyle="1" w:styleId="Head4">
    <w:name w:val="*Head 4"/>
    <w:qFormat/>
    <w:rsid w:val="003D1B64"/>
    <w:pPr>
      <w:spacing w:before="220" w:after="0" w:line="240" w:lineRule="auto"/>
      <w:outlineLvl w:val="3"/>
    </w:pPr>
    <w:rPr>
      <w:rFonts w:ascii="Gill Sans MT" w:eastAsia="Times New Roman" w:hAnsi="Gill Sans MT" w:cs="Times New Roman"/>
      <w:b/>
      <w:i/>
      <w:color w:val="6C6463"/>
      <w:szCs w:val="24"/>
    </w:rPr>
  </w:style>
  <w:style w:type="paragraph" w:customStyle="1" w:styleId="Bullet2">
    <w:name w:val="*Bullet2"/>
    <w:qFormat/>
    <w:rsid w:val="00467D6E"/>
    <w:pPr>
      <w:numPr>
        <w:ilvl w:val="1"/>
        <w:numId w:val="2"/>
      </w:numPr>
      <w:spacing w:after="0" w:line="240" w:lineRule="auto"/>
    </w:pPr>
    <w:rPr>
      <w:rFonts w:ascii="Gill Sans MT" w:eastAsia="Times New Roman" w:hAnsi="Gill Sans MT" w:cs="Times New Roman"/>
      <w:color w:val="6C6463"/>
      <w:szCs w:val="24"/>
    </w:rPr>
  </w:style>
  <w:style w:type="paragraph" w:customStyle="1" w:styleId="Bullet3">
    <w:name w:val="*Bullet3"/>
    <w:qFormat/>
    <w:rsid w:val="00467D6E"/>
    <w:pPr>
      <w:numPr>
        <w:ilvl w:val="2"/>
        <w:numId w:val="2"/>
      </w:numPr>
      <w:spacing w:after="0" w:line="240" w:lineRule="auto"/>
      <w:ind w:left="1440"/>
    </w:pPr>
    <w:rPr>
      <w:rFonts w:ascii="Gill Sans MT" w:eastAsia="Times New Roman" w:hAnsi="Gill Sans MT" w:cs="Times New Roman"/>
      <w:color w:val="6C6463"/>
      <w:szCs w:val="24"/>
    </w:rPr>
  </w:style>
  <w:style w:type="paragraph" w:customStyle="1" w:styleId="BoxText">
    <w:name w:val="*Box Text"/>
    <w:qFormat/>
    <w:rsid w:val="004D7C96"/>
    <w:pPr>
      <w:pBdr>
        <w:top w:val="single" w:sz="24" w:space="1" w:color="DEEBF7"/>
        <w:left w:val="single" w:sz="24" w:space="4" w:color="DEEBF7"/>
        <w:bottom w:val="single" w:sz="24" w:space="1" w:color="DEEBF7"/>
        <w:right w:val="single" w:sz="24" w:space="4" w:color="DEEBF7"/>
      </w:pBdr>
      <w:shd w:val="clear" w:color="auto" w:fill="DEEBF7"/>
      <w:spacing w:after="120" w:line="240" w:lineRule="auto"/>
    </w:pPr>
    <w:rPr>
      <w:rFonts w:ascii="Gill Sans MT" w:eastAsia="Times New Roman" w:hAnsi="Gill Sans MT" w:cs="Times New Roman"/>
      <w:color w:val="002F6C"/>
      <w:sz w:val="20"/>
      <w:szCs w:val="20"/>
    </w:rPr>
  </w:style>
  <w:style w:type="paragraph" w:customStyle="1" w:styleId="BoxTitle">
    <w:name w:val="*Box Title"/>
    <w:qFormat/>
    <w:rsid w:val="004D7C96"/>
    <w:pPr>
      <w:pBdr>
        <w:top w:val="single" w:sz="24" w:space="1" w:color="DEEBF7"/>
        <w:left w:val="single" w:sz="24" w:space="4" w:color="DEEBF7"/>
        <w:bottom w:val="single" w:sz="24" w:space="1" w:color="DEEBF7"/>
        <w:right w:val="single" w:sz="24" w:space="4" w:color="DEEBF7"/>
      </w:pBdr>
      <w:shd w:val="clear" w:color="auto" w:fill="DEEBF7"/>
      <w:spacing w:before="220" w:after="120" w:line="247" w:lineRule="auto"/>
      <w:jc w:val="center"/>
    </w:pPr>
    <w:rPr>
      <w:rFonts w:ascii="Gill Sans MT" w:eastAsia="Times New Roman" w:hAnsi="Gill Sans MT" w:cs="Times New Roman"/>
      <w:b/>
      <w:color w:val="002F6C" w:themeColor="text2"/>
      <w:sz w:val="20"/>
      <w:szCs w:val="20"/>
    </w:rPr>
  </w:style>
  <w:style w:type="paragraph" w:customStyle="1" w:styleId="QuoteAttribution">
    <w:name w:val="*Quote Attribution"/>
    <w:qFormat/>
    <w:rsid w:val="00895A9D"/>
    <w:pPr>
      <w:pBdr>
        <w:top w:val="single" w:sz="24" w:space="1" w:color="002F6C" w:themeColor="text2"/>
        <w:left w:val="single" w:sz="24" w:space="4" w:color="002F6C" w:themeColor="text2"/>
        <w:bottom w:val="single" w:sz="24" w:space="1" w:color="002F6C" w:themeColor="text2"/>
        <w:right w:val="single" w:sz="24" w:space="4" w:color="002F6C" w:themeColor="text2"/>
      </w:pBdr>
      <w:shd w:val="clear" w:color="auto" w:fill="002F6C" w:themeFill="text2"/>
      <w:spacing w:after="0" w:line="240" w:lineRule="auto"/>
      <w:jc w:val="right"/>
    </w:pPr>
    <w:rPr>
      <w:rFonts w:ascii="Gill Sans MT" w:eastAsia="MS Mincho" w:hAnsi="Gill Sans MT" w:cs="GillSansMTStd-Book"/>
      <w:i/>
      <w:iCs/>
      <w:color w:val="FFFFFF" w:themeColor="background1"/>
      <w:sz w:val="20"/>
      <w:szCs w:val="20"/>
      <w:lang w:val="fr-FR"/>
    </w:rPr>
  </w:style>
  <w:style w:type="paragraph" w:customStyle="1" w:styleId="QuoteText">
    <w:name w:val="*Quote Text"/>
    <w:qFormat/>
    <w:rsid w:val="00895A9D"/>
    <w:pPr>
      <w:pBdr>
        <w:top w:val="single" w:sz="24" w:space="1" w:color="002F6C" w:themeColor="text2"/>
        <w:left w:val="single" w:sz="24" w:space="4" w:color="002F6C" w:themeColor="text2"/>
        <w:bottom w:val="single" w:sz="24" w:space="1" w:color="002F6C" w:themeColor="text2"/>
        <w:right w:val="single" w:sz="24" w:space="4" w:color="002F6C" w:themeColor="text2"/>
      </w:pBdr>
      <w:shd w:val="clear" w:color="auto" w:fill="002F6C" w:themeFill="text2"/>
      <w:spacing w:after="0" w:line="240" w:lineRule="auto"/>
    </w:pPr>
    <w:rPr>
      <w:rFonts w:ascii="Gill Sans MT" w:eastAsia="Times New Roman" w:hAnsi="Gill Sans MT" w:cs="Times New Roman"/>
      <w:color w:val="FFFFFF" w:themeColor="background1"/>
      <w:sz w:val="20"/>
      <w:szCs w:val="20"/>
    </w:rPr>
  </w:style>
  <w:style w:type="paragraph" w:customStyle="1" w:styleId="Head1">
    <w:name w:val="*Head 1"/>
    <w:next w:val="BodyCopy"/>
    <w:qFormat/>
    <w:rsid w:val="00FF49CB"/>
    <w:pPr>
      <w:keepNext/>
      <w:spacing w:after="400" w:line="240" w:lineRule="auto"/>
      <w:outlineLvl w:val="0"/>
    </w:pPr>
    <w:rPr>
      <w:rFonts w:ascii="Gill Sans MT" w:eastAsia="Times New Roman" w:hAnsi="Gill Sans MT" w:cs="Times New Roman"/>
      <w:b/>
      <w:bCs/>
      <w:color w:val="C2113A"/>
      <w:sz w:val="40"/>
      <w:szCs w:val="52"/>
    </w:rPr>
  </w:style>
  <w:style w:type="paragraph" w:styleId="TOC1">
    <w:name w:val="toc 1"/>
    <w:aliases w:val="*TOC 1"/>
    <w:basedOn w:val="Normal"/>
    <w:next w:val="Normal"/>
    <w:autoRedefine/>
    <w:uiPriority w:val="39"/>
    <w:unhideWhenUsed/>
    <w:rsid w:val="002070CE"/>
    <w:pPr>
      <w:tabs>
        <w:tab w:val="right" w:leader="dot" w:pos="9350"/>
      </w:tabs>
      <w:spacing w:before="200" w:after="120" w:line="240" w:lineRule="auto"/>
    </w:pPr>
    <w:rPr>
      <w:rFonts w:ascii="Gill Sans MT" w:hAnsi="Gill Sans MT"/>
      <w:b/>
      <w:noProof/>
      <w:color w:val="6C6463"/>
    </w:rPr>
  </w:style>
  <w:style w:type="paragraph" w:styleId="TOC2">
    <w:name w:val="toc 2"/>
    <w:aliases w:val="*TOC 2"/>
    <w:basedOn w:val="Normal"/>
    <w:next w:val="Normal"/>
    <w:autoRedefine/>
    <w:uiPriority w:val="39"/>
    <w:unhideWhenUsed/>
    <w:rsid w:val="002070CE"/>
    <w:pPr>
      <w:tabs>
        <w:tab w:val="right" w:leader="dot" w:pos="9350"/>
      </w:tabs>
      <w:spacing w:after="120" w:line="240" w:lineRule="auto"/>
      <w:ind w:left="446"/>
    </w:pPr>
    <w:rPr>
      <w:rFonts w:ascii="Gill Sans MT" w:hAnsi="Gill Sans MT"/>
      <w:noProof/>
      <w:color w:val="6C6463"/>
    </w:rPr>
  </w:style>
  <w:style w:type="character" w:styleId="Hyperlink">
    <w:name w:val="Hyperlink"/>
    <w:basedOn w:val="DefaultParagraphFont"/>
    <w:uiPriority w:val="99"/>
    <w:unhideWhenUsed/>
    <w:rsid w:val="00FC1E58"/>
    <w:rPr>
      <w:color w:val="6C6463" w:themeColor="hyperlink"/>
      <w:u w:val="single"/>
    </w:rPr>
  </w:style>
  <w:style w:type="character" w:customStyle="1" w:styleId="ExhibitTitle">
    <w:name w:val="*Exhibit Title"/>
    <w:basedOn w:val="DefaultParagraphFont"/>
    <w:rsid w:val="00467D6E"/>
    <w:rPr>
      <w:rFonts w:ascii="Gill Sans MT" w:hAnsi="Gill Sans MT"/>
      <w:color w:val="6C6463"/>
      <w:sz w:val="22"/>
    </w:rPr>
  </w:style>
  <w:style w:type="table" w:customStyle="1" w:styleId="AcronymsTable">
    <w:name w:val="Acronyms Table"/>
    <w:basedOn w:val="TableNormal"/>
    <w:uiPriority w:val="99"/>
    <w:rsid w:val="00FC1E58"/>
    <w:pPr>
      <w:spacing w:after="0" w:line="240" w:lineRule="auto"/>
    </w:pPr>
    <w:rPr>
      <w:rFonts w:ascii="Gill Sans MT" w:hAnsi="Gill Sans MT"/>
      <w:color w:val="6C6463" w:themeColor="accent4"/>
    </w:rPr>
    <w:tblPr>
      <w:tblCellMar>
        <w:top w:w="14" w:type="dxa"/>
        <w:left w:w="86" w:type="dxa"/>
        <w:bottom w:w="14" w:type="dxa"/>
        <w:right w:w="86" w:type="dxa"/>
      </w:tblCellMar>
    </w:tblPr>
  </w:style>
  <w:style w:type="paragraph" w:customStyle="1" w:styleId="TableBullets">
    <w:name w:val="*Table Bullets"/>
    <w:qFormat/>
    <w:rsid w:val="00915FA2"/>
    <w:pPr>
      <w:numPr>
        <w:numId w:val="5"/>
      </w:numPr>
      <w:spacing w:after="0" w:line="240" w:lineRule="auto"/>
      <w:ind w:left="190" w:hanging="187"/>
    </w:pPr>
    <w:rPr>
      <w:rFonts w:ascii="Gill Sans MT" w:hAnsi="Gill Sans MT"/>
      <w:color w:val="6C6463"/>
      <w:sz w:val="20"/>
    </w:rPr>
  </w:style>
  <w:style w:type="paragraph" w:styleId="Caption">
    <w:name w:val="caption"/>
    <w:basedOn w:val="Normal"/>
    <w:next w:val="Normal"/>
    <w:uiPriority w:val="35"/>
    <w:unhideWhenUsed/>
    <w:qFormat/>
    <w:rsid w:val="00F16E08"/>
    <w:pPr>
      <w:spacing w:after="120" w:line="240" w:lineRule="auto"/>
    </w:pPr>
    <w:rPr>
      <w:rFonts w:ascii="Gill Sans MT" w:hAnsi="Gill Sans MT"/>
      <w:iCs/>
      <w:color w:val="6C6463"/>
      <w:szCs w:val="18"/>
    </w:rPr>
  </w:style>
  <w:style w:type="paragraph" w:customStyle="1" w:styleId="Disclaimer">
    <w:name w:val="*Disclaimer"/>
    <w:qFormat/>
    <w:rsid w:val="00467D6E"/>
    <w:pPr>
      <w:spacing w:after="220" w:line="240" w:lineRule="auto"/>
    </w:pPr>
    <w:rPr>
      <w:rFonts w:ascii="Gill Sans Std Light" w:eastAsia="Times New Roman" w:hAnsi="Gill Sans Std Light" w:cs="Times New Roman"/>
      <w:color w:val="7F7F7F"/>
    </w:rPr>
  </w:style>
  <w:style w:type="paragraph" w:styleId="Header">
    <w:name w:val="header"/>
    <w:basedOn w:val="Normal"/>
    <w:link w:val="HeaderChar"/>
    <w:uiPriority w:val="99"/>
    <w:unhideWhenUsed/>
    <w:rsid w:val="00467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6E"/>
  </w:style>
  <w:style w:type="paragraph" w:styleId="Footer0">
    <w:name w:val="footer"/>
    <w:basedOn w:val="Normal"/>
    <w:link w:val="FooterChar0"/>
    <w:uiPriority w:val="99"/>
    <w:unhideWhenUsed/>
    <w:rsid w:val="00467D6E"/>
    <w:pPr>
      <w:tabs>
        <w:tab w:val="center" w:pos="4680"/>
        <w:tab w:val="right" w:pos="9360"/>
      </w:tabs>
      <w:spacing w:after="0" w:line="240" w:lineRule="auto"/>
    </w:pPr>
  </w:style>
  <w:style w:type="character" w:customStyle="1" w:styleId="FooterChar0">
    <w:name w:val="Footer Char"/>
    <w:basedOn w:val="DefaultParagraphFont"/>
    <w:link w:val="Footer0"/>
    <w:uiPriority w:val="99"/>
    <w:rsid w:val="00467D6E"/>
  </w:style>
  <w:style w:type="paragraph" w:customStyle="1" w:styleId="BoxBullet">
    <w:name w:val="*Box Bullet"/>
    <w:qFormat/>
    <w:rsid w:val="004D7C96"/>
    <w:pPr>
      <w:numPr>
        <w:numId w:val="6"/>
      </w:numPr>
      <w:pBdr>
        <w:top w:val="single" w:sz="24" w:space="1" w:color="DEEBF7"/>
        <w:left w:val="single" w:sz="24" w:space="4" w:color="DEEBF7"/>
        <w:bottom w:val="single" w:sz="24" w:space="1" w:color="DEEBF7"/>
        <w:right w:val="single" w:sz="24" w:space="4" w:color="DEEBF7"/>
      </w:pBdr>
      <w:shd w:val="clear" w:color="auto" w:fill="DEEBF7"/>
      <w:spacing w:after="60" w:line="240" w:lineRule="auto"/>
      <w:ind w:left="187" w:hanging="187"/>
    </w:pPr>
    <w:rPr>
      <w:rFonts w:ascii="Gill Sans MT" w:eastAsia="Times New Roman" w:hAnsi="Gill Sans MT" w:cs="Times New Roman"/>
      <w:color w:val="002F6C" w:themeColor="text2"/>
      <w:sz w:val="20"/>
      <w:szCs w:val="20"/>
    </w:rPr>
  </w:style>
  <w:style w:type="paragraph" w:customStyle="1" w:styleId="FootnoteSeparator">
    <w:name w:val="*Footnote Separator"/>
    <w:basedOn w:val="Disclaimer"/>
    <w:rsid w:val="000F3ED6"/>
    <w:pPr>
      <w:spacing w:after="0"/>
    </w:pPr>
  </w:style>
  <w:style w:type="paragraph" w:customStyle="1" w:styleId="BasicParagraph">
    <w:name w:val="[Basic Paragraph]"/>
    <w:basedOn w:val="Normal"/>
    <w:uiPriority w:val="99"/>
    <w:rsid w:val="00BE33B9"/>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rPr>
  </w:style>
  <w:style w:type="paragraph" w:customStyle="1" w:styleId="CoverReportTitle">
    <w:name w:val="*Cover Report Title"/>
    <w:next w:val="CoverReportSubtitle"/>
    <w:qFormat/>
    <w:rsid w:val="00695EF9"/>
    <w:pPr>
      <w:spacing w:after="240" w:line="240" w:lineRule="auto"/>
    </w:pPr>
    <w:rPr>
      <w:rFonts w:ascii="Gill Sans MT" w:hAnsi="Gill Sans MT"/>
      <w:color w:val="BA0C2F"/>
      <w:sz w:val="52"/>
      <w:szCs w:val="52"/>
    </w:rPr>
  </w:style>
  <w:style w:type="paragraph" w:customStyle="1" w:styleId="CoverReportSubtitle">
    <w:name w:val="*Cover Report Subtitle"/>
    <w:qFormat/>
    <w:rsid w:val="00E11DD6"/>
    <w:pPr>
      <w:spacing w:after="600" w:line="240" w:lineRule="auto"/>
    </w:pPr>
    <w:rPr>
      <w:rFonts w:ascii="Gill Sans MT" w:hAnsi="Gill Sans MT"/>
      <w:b/>
      <w:color w:val="BA0C2F"/>
      <w:sz w:val="32"/>
      <w:szCs w:val="32"/>
    </w:rPr>
  </w:style>
  <w:style w:type="paragraph" w:customStyle="1" w:styleId="CoverDate">
    <w:name w:val="*Cover Date"/>
    <w:qFormat/>
    <w:rsid w:val="00E11DD6"/>
    <w:pPr>
      <w:spacing w:after="0" w:line="240" w:lineRule="auto"/>
    </w:pPr>
    <w:rPr>
      <w:rFonts w:ascii="Gill Sans MT" w:hAnsi="Gill Sans MT"/>
      <w:color w:val="6C6463"/>
      <w:sz w:val="24"/>
      <w:szCs w:val="24"/>
    </w:rPr>
  </w:style>
  <w:style w:type="paragraph" w:customStyle="1" w:styleId="Head1NoTOC">
    <w:name w:val="*Head 1 No TOC"/>
    <w:basedOn w:val="Head1"/>
    <w:qFormat/>
    <w:rsid w:val="009713DD"/>
  </w:style>
  <w:style w:type="paragraph" w:customStyle="1" w:styleId="GHSC">
    <w:name w:val="*GHSC"/>
    <w:qFormat/>
    <w:rsid w:val="009416DC"/>
    <w:pPr>
      <w:spacing w:after="0" w:line="240" w:lineRule="auto"/>
    </w:pPr>
    <w:rPr>
      <w:rFonts w:ascii="Gill Sans MT" w:eastAsia="Times New Roman" w:hAnsi="Gill Sans MT" w:cs="GillSansMT-Bold"/>
      <w:bCs/>
      <w:caps/>
      <w:color w:val="BA0C2F"/>
      <w:sz w:val="26"/>
      <w:szCs w:val="26"/>
    </w:rPr>
  </w:style>
  <w:style w:type="paragraph" w:styleId="NoSpacing">
    <w:name w:val="No Spacing"/>
    <w:link w:val="NoSpacingChar"/>
    <w:uiPriority w:val="1"/>
    <w:qFormat/>
    <w:rsid w:val="00501553"/>
    <w:pPr>
      <w:spacing w:after="0" w:line="240" w:lineRule="auto"/>
    </w:pPr>
    <w:rPr>
      <w:rFonts w:eastAsiaTheme="minorEastAsia"/>
    </w:rPr>
  </w:style>
  <w:style w:type="character" w:customStyle="1" w:styleId="NoSpacingChar">
    <w:name w:val="No Spacing Char"/>
    <w:basedOn w:val="DefaultParagraphFont"/>
    <w:link w:val="NoSpacing"/>
    <w:uiPriority w:val="1"/>
    <w:rsid w:val="00501553"/>
    <w:rPr>
      <w:rFonts w:eastAsiaTheme="minorEastAsia"/>
    </w:rPr>
  </w:style>
  <w:style w:type="paragraph" w:customStyle="1" w:styleId="PSMTextBasicCover">
    <w:name w:val="*PSM Text Basic Cover"/>
    <w:rsid w:val="009416DC"/>
    <w:pPr>
      <w:spacing w:after="3200" w:line="240" w:lineRule="auto"/>
    </w:pPr>
    <w:rPr>
      <w:rFonts w:ascii="Gill Sans MT" w:eastAsia="Times New Roman" w:hAnsi="Gill Sans MT" w:cs="Times New Roman"/>
      <w:color w:val="6C6463"/>
      <w:sz w:val="24"/>
      <w:szCs w:val="24"/>
    </w:rPr>
  </w:style>
  <w:style w:type="paragraph" w:customStyle="1" w:styleId="Head2">
    <w:name w:val="*Head 2"/>
    <w:next w:val="BodyCopy"/>
    <w:qFormat/>
    <w:rsid w:val="00277915"/>
    <w:pPr>
      <w:keepNext/>
      <w:spacing w:before="360" w:line="240" w:lineRule="auto"/>
      <w:outlineLvl w:val="1"/>
    </w:pPr>
    <w:rPr>
      <w:rFonts w:ascii="Gill Sans MT" w:eastAsia="Times New Roman" w:hAnsi="Gill Sans MT" w:cs="Times New Roman"/>
      <w:b/>
      <w:color w:val="002F6C" w:themeColor="text2"/>
      <w:sz w:val="28"/>
      <w:szCs w:val="28"/>
    </w:rPr>
  </w:style>
  <w:style w:type="paragraph" w:customStyle="1" w:styleId="TableBody">
    <w:name w:val="*Table Body"/>
    <w:basedOn w:val="BodyCopy"/>
    <w:qFormat/>
    <w:rsid w:val="00421E08"/>
    <w:pPr>
      <w:spacing w:after="0" w:line="240" w:lineRule="auto"/>
    </w:pPr>
    <w:rPr>
      <w:sz w:val="20"/>
    </w:rPr>
  </w:style>
  <w:style w:type="paragraph" w:customStyle="1" w:styleId="TableHead">
    <w:name w:val="*Table Head"/>
    <w:basedOn w:val="BodyCopy"/>
    <w:qFormat/>
    <w:rsid w:val="00421E08"/>
    <w:pPr>
      <w:spacing w:after="0" w:line="240" w:lineRule="auto"/>
    </w:pPr>
    <w:rPr>
      <w:color w:val="FFFFFF" w:themeColor="background1"/>
      <w:sz w:val="20"/>
    </w:rPr>
  </w:style>
  <w:style w:type="paragraph" w:customStyle="1" w:styleId="BodyCopyAfterBullets">
    <w:name w:val="*Body Copy After Bullets"/>
    <w:basedOn w:val="BodyCopy"/>
    <w:uiPriority w:val="2"/>
    <w:qFormat/>
    <w:rsid w:val="008802CF"/>
    <w:pPr>
      <w:spacing w:before="220"/>
    </w:pPr>
  </w:style>
  <w:style w:type="paragraph" w:styleId="Title">
    <w:name w:val="Title"/>
    <w:basedOn w:val="CoverReportTitle"/>
    <w:next w:val="Normal"/>
    <w:link w:val="TitleChar"/>
    <w:uiPriority w:val="10"/>
    <w:rsid w:val="0074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E5"/>
    <w:rPr>
      <w:rFonts w:asciiTheme="majorHAnsi" w:eastAsiaTheme="majorEastAsia" w:hAnsiTheme="majorHAnsi" w:cstheme="majorBidi"/>
      <w:color w:val="BA0C2F"/>
      <w:spacing w:val="-10"/>
      <w:kern w:val="28"/>
      <w:sz w:val="56"/>
      <w:szCs w:val="56"/>
    </w:rPr>
  </w:style>
  <w:style w:type="table" w:styleId="PlainTable2">
    <w:name w:val="Plain Table 2"/>
    <w:basedOn w:val="TableNormal"/>
    <w:uiPriority w:val="42"/>
    <w:rsid w:val="004D7C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EA4201"/>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UnresolvedMention">
    <w:name w:val="Unresolved Mention"/>
    <w:basedOn w:val="DefaultParagraphFont"/>
    <w:uiPriority w:val="99"/>
    <w:semiHidden/>
    <w:unhideWhenUsed/>
    <w:rsid w:val="0044684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4684F"/>
    <w:rPr>
      <w:b/>
      <w:bCs/>
    </w:rPr>
  </w:style>
  <w:style w:type="character" w:customStyle="1" w:styleId="CommentSubjectChar">
    <w:name w:val="Comment Subject Char"/>
    <w:basedOn w:val="CommentTextChar"/>
    <w:link w:val="CommentSubject"/>
    <w:uiPriority w:val="99"/>
    <w:semiHidden/>
    <w:rsid w:val="004468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17369">
      <w:bodyDiv w:val="1"/>
      <w:marLeft w:val="0"/>
      <w:marRight w:val="0"/>
      <w:marTop w:val="0"/>
      <w:marBottom w:val="0"/>
      <w:divBdr>
        <w:top w:val="none" w:sz="0" w:space="0" w:color="auto"/>
        <w:left w:val="none" w:sz="0" w:space="0" w:color="auto"/>
        <w:bottom w:val="none" w:sz="0" w:space="0" w:color="auto"/>
        <w:right w:val="none" w:sz="0" w:space="0" w:color="auto"/>
      </w:divBdr>
      <w:divsChild>
        <w:div w:id="1071924109">
          <w:marLeft w:val="0"/>
          <w:marRight w:val="0"/>
          <w:marTop w:val="0"/>
          <w:marBottom w:val="0"/>
          <w:divBdr>
            <w:top w:val="none" w:sz="0" w:space="0" w:color="auto"/>
            <w:left w:val="none" w:sz="0" w:space="0" w:color="auto"/>
            <w:bottom w:val="none" w:sz="0" w:space="0" w:color="auto"/>
            <w:right w:val="none" w:sz="0" w:space="0" w:color="auto"/>
          </w:divBdr>
        </w:div>
        <w:div w:id="88893549">
          <w:marLeft w:val="0"/>
          <w:marRight w:val="0"/>
          <w:marTop w:val="0"/>
          <w:marBottom w:val="0"/>
          <w:divBdr>
            <w:top w:val="none" w:sz="0" w:space="0" w:color="auto"/>
            <w:left w:val="none" w:sz="0" w:space="0" w:color="auto"/>
            <w:bottom w:val="none" w:sz="0" w:space="0" w:color="auto"/>
            <w:right w:val="none" w:sz="0" w:space="0" w:color="auto"/>
          </w:divBdr>
        </w:div>
        <w:div w:id="1218932865">
          <w:marLeft w:val="0"/>
          <w:marRight w:val="0"/>
          <w:marTop w:val="0"/>
          <w:marBottom w:val="0"/>
          <w:divBdr>
            <w:top w:val="none" w:sz="0" w:space="0" w:color="auto"/>
            <w:left w:val="none" w:sz="0" w:space="0" w:color="auto"/>
            <w:bottom w:val="none" w:sz="0" w:space="0" w:color="auto"/>
            <w:right w:val="none" w:sz="0" w:space="0" w:color="auto"/>
          </w:divBdr>
        </w:div>
      </w:divsChild>
    </w:div>
    <w:div w:id="702170009">
      <w:bodyDiv w:val="1"/>
      <w:marLeft w:val="0"/>
      <w:marRight w:val="0"/>
      <w:marTop w:val="0"/>
      <w:marBottom w:val="0"/>
      <w:divBdr>
        <w:top w:val="none" w:sz="0" w:space="0" w:color="auto"/>
        <w:left w:val="none" w:sz="0" w:space="0" w:color="auto"/>
        <w:bottom w:val="none" w:sz="0" w:space="0" w:color="auto"/>
        <w:right w:val="none" w:sz="0" w:space="0" w:color="auto"/>
      </w:divBdr>
      <w:divsChild>
        <w:div w:id="470901858">
          <w:marLeft w:val="0"/>
          <w:marRight w:val="0"/>
          <w:marTop w:val="0"/>
          <w:marBottom w:val="0"/>
          <w:divBdr>
            <w:top w:val="none" w:sz="0" w:space="0" w:color="auto"/>
            <w:left w:val="none" w:sz="0" w:space="0" w:color="auto"/>
            <w:bottom w:val="none" w:sz="0" w:space="0" w:color="auto"/>
            <w:right w:val="none" w:sz="0" w:space="0" w:color="auto"/>
          </w:divBdr>
        </w:div>
        <w:div w:id="525363698">
          <w:marLeft w:val="0"/>
          <w:marRight w:val="0"/>
          <w:marTop w:val="0"/>
          <w:marBottom w:val="0"/>
          <w:divBdr>
            <w:top w:val="none" w:sz="0" w:space="0" w:color="auto"/>
            <w:left w:val="none" w:sz="0" w:space="0" w:color="auto"/>
            <w:bottom w:val="none" w:sz="0" w:space="0" w:color="auto"/>
            <w:right w:val="none" w:sz="0" w:space="0" w:color="auto"/>
          </w:divBdr>
        </w:div>
        <w:div w:id="864251125">
          <w:marLeft w:val="0"/>
          <w:marRight w:val="0"/>
          <w:marTop w:val="0"/>
          <w:marBottom w:val="0"/>
          <w:divBdr>
            <w:top w:val="none" w:sz="0" w:space="0" w:color="auto"/>
            <w:left w:val="none" w:sz="0" w:space="0" w:color="auto"/>
            <w:bottom w:val="none" w:sz="0" w:space="0" w:color="auto"/>
            <w:right w:val="none" w:sz="0" w:space="0" w:color="auto"/>
          </w:divBdr>
        </w:div>
      </w:divsChild>
    </w:div>
    <w:div w:id="1096709448">
      <w:bodyDiv w:val="1"/>
      <w:marLeft w:val="0"/>
      <w:marRight w:val="0"/>
      <w:marTop w:val="0"/>
      <w:marBottom w:val="0"/>
      <w:divBdr>
        <w:top w:val="none" w:sz="0" w:space="0" w:color="auto"/>
        <w:left w:val="none" w:sz="0" w:space="0" w:color="auto"/>
        <w:bottom w:val="none" w:sz="0" w:space="0" w:color="auto"/>
        <w:right w:val="none" w:sz="0" w:space="0" w:color="auto"/>
      </w:divBdr>
      <w:divsChild>
        <w:div w:id="1682782040">
          <w:marLeft w:val="0"/>
          <w:marRight w:val="0"/>
          <w:marTop w:val="0"/>
          <w:marBottom w:val="0"/>
          <w:divBdr>
            <w:top w:val="none" w:sz="0" w:space="0" w:color="auto"/>
            <w:left w:val="none" w:sz="0" w:space="0" w:color="auto"/>
            <w:bottom w:val="none" w:sz="0" w:space="0" w:color="auto"/>
            <w:right w:val="none" w:sz="0" w:space="0" w:color="auto"/>
          </w:divBdr>
        </w:div>
        <w:div w:id="1227184448">
          <w:marLeft w:val="0"/>
          <w:marRight w:val="0"/>
          <w:marTop w:val="0"/>
          <w:marBottom w:val="0"/>
          <w:divBdr>
            <w:top w:val="none" w:sz="0" w:space="0" w:color="auto"/>
            <w:left w:val="none" w:sz="0" w:space="0" w:color="auto"/>
            <w:bottom w:val="none" w:sz="0" w:space="0" w:color="auto"/>
            <w:right w:val="none" w:sz="0" w:space="0" w:color="auto"/>
          </w:divBdr>
        </w:div>
        <w:div w:id="917713300">
          <w:marLeft w:val="0"/>
          <w:marRight w:val="0"/>
          <w:marTop w:val="0"/>
          <w:marBottom w:val="0"/>
          <w:divBdr>
            <w:top w:val="none" w:sz="0" w:space="0" w:color="auto"/>
            <w:left w:val="none" w:sz="0" w:space="0" w:color="auto"/>
            <w:bottom w:val="none" w:sz="0" w:space="0" w:color="auto"/>
            <w:right w:val="none" w:sz="0" w:space="0" w:color="auto"/>
          </w:divBdr>
          <w:divsChild>
            <w:div w:id="529732590">
              <w:marLeft w:val="0"/>
              <w:marRight w:val="0"/>
              <w:marTop w:val="0"/>
              <w:marBottom w:val="0"/>
              <w:divBdr>
                <w:top w:val="none" w:sz="0" w:space="0" w:color="auto"/>
                <w:left w:val="none" w:sz="0" w:space="0" w:color="auto"/>
                <w:bottom w:val="none" w:sz="0" w:space="0" w:color="auto"/>
                <w:right w:val="none" w:sz="0" w:space="0" w:color="auto"/>
              </w:divBdr>
            </w:div>
            <w:div w:id="2004311192">
              <w:marLeft w:val="0"/>
              <w:marRight w:val="0"/>
              <w:marTop w:val="0"/>
              <w:marBottom w:val="0"/>
              <w:divBdr>
                <w:top w:val="none" w:sz="0" w:space="0" w:color="auto"/>
                <w:left w:val="none" w:sz="0" w:space="0" w:color="auto"/>
                <w:bottom w:val="none" w:sz="0" w:space="0" w:color="auto"/>
                <w:right w:val="none" w:sz="0" w:space="0" w:color="auto"/>
              </w:divBdr>
            </w:div>
            <w:div w:id="1180849546">
              <w:marLeft w:val="0"/>
              <w:marRight w:val="0"/>
              <w:marTop w:val="0"/>
              <w:marBottom w:val="0"/>
              <w:divBdr>
                <w:top w:val="none" w:sz="0" w:space="0" w:color="auto"/>
                <w:left w:val="none" w:sz="0" w:space="0" w:color="auto"/>
                <w:bottom w:val="none" w:sz="0" w:space="0" w:color="auto"/>
                <w:right w:val="none" w:sz="0" w:space="0" w:color="auto"/>
              </w:divBdr>
            </w:div>
            <w:div w:id="931475603">
              <w:marLeft w:val="0"/>
              <w:marRight w:val="0"/>
              <w:marTop w:val="0"/>
              <w:marBottom w:val="0"/>
              <w:divBdr>
                <w:top w:val="none" w:sz="0" w:space="0" w:color="auto"/>
                <w:left w:val="none" w:sz="0" w:space="0" w:color="auto"/>
                <w:bottom w:val="none" w:sz="0" w:space="0" w:color="auto"/>
                <w:right w:val="none" w:sz="0" w:space="0" w:color="auto"/>
              </w:divBdr>
            </w:div>
            <w:div w:id="1005473048">
              <w:marLeft w:val="0"/>
              <w:marRight w:val="0"/>
              <w:marTop w:val="0"/>
              <w:marBottom w:val="0"/>
              <w:divBdr>
                <w:top w:val="none" w:sz="0" w:space="0" w:color="auto"/>
                <w:left w:val="none" w:sz="0" w:space="0" w:color="auto"/>
                <w:bottom w:val="none" w:sz="0" w:space="0" w:color="auto"/>
                <w:right w:val="none" w:sz="0" w:space="0" w:color="auto"/>
              </w:divBdr>
            </w:div>
          </w:divsChild>
        </w:div>
        <w:div w:id="1058632412">
          <w:marLeft w:val="0"/>
          <w:marRight w:val="0"/>
          <w:marTop w:val="0"/>
          <w:marBottom w:val="0"/>
          <w:divBdr>
            <w:top w:val="none" w:sz="0" w:space="0" w:color="auto"/>
            <w:left w:val="none" w:sz="0" w:space="0" w:color="auto"/>
            <w:bottom w:val="none" w:sz="0" w:space="0" w:color="auto"/>
            <w:right w:val="none" w:sz="0" w:space="0" w:color="auto"/>
          </w:divBdr>
          <w:divsChild>
            <w:div w:id="89736257">
              <w:marLeft w:val="0"/>
              <w:marRight w:val="0"/>
              <w:marTop w:val="0"/>
              <w:marBottom w:val="0"/>
              <w:divBdr>
                <w:top w:val="none" w:sz="0" w:space="0" w:color="auto"/>
                <w:left w:val="none" w:sz="0" w:space="0" w:color="auto"/>
                <w:bottom w:val="none" w:sz="0" w:space="0" w:color="auto"/>
                <w:right w:val="none" w:sz="0" w:space="0" w:color="auto"/>
              </w:divBdr>
            </w:div>
            <w:div w:id="341127098">
              <w:marLeft w:val="0"/>
              <w:marRight w:val="0"/>
              <w:marTop w:val="0"/>
              <w:marBottom w:val="0"/>
              <w:divBdr>
                <w:top w:val="none" w:sz="0" w:space="0" w:color="auto"/>
                <w:left w:val="none" w:sz="0" w:space="0" w:color="auto"/>
                <w:bottom w:val="none" w:sz="0" w:space="0" w:color="auto"/>
                <w:right w:val="none" w:sz="0" w:space="0" w:color="auto"/>
              </w:divBdr>
            </w:div>
            <w:div w:id="1650474696">
              <w:marLeft w:val="0"/>
              <w:marRight w:val="0"/>
              <w:marTop w:val="0"/>
              <w:marBottom w:val="0"/>
              <w:divBdr>
                <w:top w:val="none" w:sz="0" w:space="0" w:color="auto"/>
                <w:left w:val="none" w:sz="0" w:space="0" w:color="auto"/>
                <w:bottom w:val="none" w:sz="0" w:space="0" w:color="auto"/>
                <w:right w:val="none" w:sz="0" w:space="0" w:color="auto"/>
              </w:divBdr>
            </w:div>
            <w:div w:id="399794265">
              <w:marLeft w:val="0"/>
              <w:marRight w:val="0"/>
              <w:marTop w:val="0"/>
              <w:marBottom w:val="0"/>
              <w:divBdr>
                <w:top w:val="none" w:sz="0" w:space="0" w:color="auto"/>
                <w:left w:val="none" w:sz="0" w:space="0" w:color="auto"/>
                <w:bottom w:val="none" w:sz="0" w:space="0" w:color="auto"/>
                <w:right w:val="none" w:sz="0" w:space="0" w:color="auto"/>
              </w:divBdr>
            </w:div>
            <w:div w:id="1696271035">
              <w:marLeft w:val="0"/>
              <w:marRight w:val="0"/>
              <w:marTop w:val="0"/>
              <w:marBottom w:val="0"/>
              <w:divBdr>
                <w:top w:val="none" w:sz="0" w:space="0" w:color="auto"/>
                <w:left w:val="none" w:sz="0" w:space="0" w:color="auto"/>
                <w:bottom w:val="none" w:sz="0" w:space="0" w:color="auto"/>
                <w:right w:val="none" w:sz="0" w:space="0" w:color="auto"/>
              </w:divBdr>
            </w:div>
          </w:divsChild>
        </w:div>
        <w:div w:id="78528888">
          <w:marLeft w:val="0"/>
          <w:marRight w:val="0"/>
          <w:marTop w:val="0"/>
          <w:marBottom w:val="0"/>
          <w:divBdr>
            <w:top w:val="none" w:sz="0" w:space="0" w:color="auto"/>
            <w:left w:val="none" w:sz="0" w:space="0" w:color="auto"/>
            <w:bottom w:val="none" w:sz="0" w:space="0" w:color="auto"/>
            <w:right w:val="none" w:sz="0" w:space="0" w:color="auto"/>
          </w:divBdr>
          <w:divsChild>
            <w:div w:id="229774515">
              <w:marLeft w:val="0"/>
              <w:marRight w:val="0"/>
              <w:marTop w:val="0"/>
              <w:marBottom w:val="0"/>
              <w:divBdr>
                <w:top w:val="none" w:sz="0" w:space="0" w:color="auto"/>
                <w:left w:val="none" w:sz="0" w:space="0" w:color="auto"/>
                <w:bottom w:val="none" w:sz="0" w:space="0" w:color="auto"/>
                <w:right w:val="none" w:sz="0" w:space="0" w:color="auto"/>
              </w:divBdr>
            </w:div>
            <w:div w:id="2027368536">
              <w:marLeft w:val="0"/>
              <w:marRight w:val="0"/>
              <w:marTop w:val="0"/>
              <w:marBottom w:val="0"/>
              <w:divBdr>
                <w:top w:val="none" w:sz="0" w:space="0" w:color="auto"/>
                <w:left w:val="none" w:sz="0" w:space="0" w:color="auto"/>
                <w:bottom w:val="none" w:sz="0" w:space="0" w:color="auto"/>
                <w:right w:val="none" w:sz="0" w:space="0" w:color="auto"/>
              </w:divBdr>
            </w:div>
            <w:div w:id="953445658">
              <w:marLeft w:val="0"/>
              <w:marRight w:val="0"/>
              <w:marTop w:val="0"/>
              <w:marBottom w:val="0"/>
              <w:divBdr>
                <w:top w:val="none" w:sz="0" w:space="0" w:color="auto"/>
                <w:left w:val="none" w:sz="0" w:space="0" w:color="auto"/>
                <w:bottom w:val="none" w:sz="0" w:space="0" w:color="auto"/>
                <w:right w:val="none" w:sz="0" w:space="0" w:color="auto"/>
              </w:divBdr>
            </w:div>
            <w:div w:id="7560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37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06">
          <w:marLeft w:val="0"/>
          <w:marRight w:val="0"/>
          <w:marTop w:val="0"/>
          <w:marBottom w:val="0"/>
          <w:divBdr>
            <w:top w:val="none" w:sz="0" w:space="0" w:color="auto"/>
            <w:left w:val="none" w:sz="0" w:space="0" w:color="auto"/>
            <w:bottom w:val="none" w:sz="0" w:space="0" w:color="auto"/>
            <w:right w:val="none" w:sz="0" w:space="0" w:color="auto"/>
          </w:divBdr>
        </w:div>
        <w:div w:id="692347018">
          <w:marLeft w:val="0"/>
          <w:marRight w:val="0"/>
          <w:marTop w:val="0"/>
          <w:marBottom w:val="0"/>
          <w:divBdr>
            <w:top w:val="none" w:sz="0" w:space="0" w:color="auto"/>
            <w:left w:val="none" w:sz="0" w:space="0" w:color="auto"/>
            <w:bottom w:val="none" w:sz="0" w:space="0" w:color="auto"/>
            <w:right w:val="none" w:sz="0" w:space="0" w:color="auto"/>
          </w:divBdr>
        </w:div>
        <w:div w:id="1743404816">
          <w:marLeft w:val="0"/>
          <w:marRight w:val="0"/>
          <w:marTop w:val="0"/>
          <w:marBottom w:val="0"/>
          <w:divBdr>
            <w:top w:val="none" w:sz="0" w:space="0" w:color="auto"/>
            <w:left w:val="none" w:sz="0" w:space="0" w:color="auto"/>
            <w:bottom w:val="none" w:sz="0" w:space="0" w:color="auto"/>
            <w:right w:val="none" w:sz="0" w:space="0" w:color="auto"/>
          </w:divBdr>
          <w:divsChild>
            <w:div w:id="889415257">
              <w:marLeft w:val="0"/>
              <w:marRight w:val="0"/>
              <w:marTop w:val="0"/>
              <w:marBottom w:val="0"/>
              <w:divBdr>
                <w:top w:val="none" w:sz="0" w:space="0" w:color="auto"/>
                <w:left w:val="none" w:sz="0" w:space="0" w:color="auto"/>
                <w:bottom w:val="none" w:sz="0" w:space="0" w:color="auto"/>
                <w:right w:val="none" w:sz="0" w:space="0" w:color="auto"/>
              </w:divBdr>
            </w:div>
            <w:div w:id="111677327">
              <w:marLeft w:val="0"/>
              <w:marRight w:val="0"/>
              <w:marTop w:val="0"/>
              <w:marBottom w:val="0"/>
              <w:divBdr>
                <w:top w:val="none" w:sz="0" w:space="0" w:color="auto"/>
                <w:left w:val="none" w:sz="0" w:space="0" w:color="auto"/>
                <w:bottom w:val="none" w:sz="0" w:space="0" w:color="auto"/>
                <w:right w:val="none" w:sz="0" w:space="0" w:color="auto"/>
              </w:divBdr>
            </w:div>
            <w:div w:id="2019690354">
              <w:marLeft w:val="0"/>
              <w:marRight w:val="0"/>
              <w:marTop w:val="0"/>
              <w:marBottom w:val="0"/>
              <w:divBdr>
                <w:top w:val="none" w:sz="0" w:space="0" w:color="auto"/>
                <w:left w:val="none" w:sz="0" w:space="0" w:color="auto"/>
                <w:bottom w:val="none" w:sz="0" w:space="0" w:color="auto"/>
                <w:right w:val="none" w:sz="0" w:space="0" w:color="auto"/>
              </w:divBdr>
            </w:div>
            <w:div w:id="662440587">
              <w:marLeft w:val="0"/>
              <w:marRight w:val="0"/>
              <w:marTop w:val="0"/>
              <w:marBottom w:val="0"/>
              <w:divBdr>
                <w:top w:val="none" w:sz="0" w:space="0" w:color="auto"/>
                <w:left w:val="none" w:sz="0" w:space="0" w:color="auto"/>
                <w:bottom w:val="none" w:sz="0" w:space="0" w:color="auto"/>
                <w:right w:val="none" w:sz="0" w:space="0" w:color="auto"/>
              </w:divBdr>
            </w:div>
            <w:div w:id="585310463">
              <w:marLeft w:val="0"/>
              <w:marRight w:val="0"/>
              <w:marTop w:val="0"/>
              <w:marBottom w:val="0"/>
              <w:divBdr>
                <w:top w:val="none" w:sz="0" w:space="0" w:color="auto"/>
                <w:left w:val="none" w:sz="0" w:space="0" w:color="auto"/>
                <w:bottom w:val="none" w:sz="0" w:space="0" w:color="auto"/>
                <w:right w:val="none" w:sz="0" w:space="0" w:color="auto"/>
              </w:divBdr>
            </w:div>
          </w:divsChild>
        </w:div>
        <w:div w:id="567152416">
          <w:marLeft w:val="0"/>
          <w:marRight w:val="0"/>
          <w:marTop w:val="0"/>
          <w:marBottom w:val="0"/>
          <w:divBdr>
            <w:top w:val="none" w:sz="0" w:space="0" w:color="auto"/>
            <w:left w:val="none" w:sz="0" w:space="0" w:color="auto"/>
            <w:bottom w:val="none" w:sz="0" w:space="0" w:color="auto"/>
            <w:right w:val="none" w:sz="0" w:space="0" w:color="auto"/>
          </w:divBdr>
          <w:divsChild>
            <w:div w:id="1677534408">
              <w:marLeft w:val="0"/>
              <w:marRight w:val="0"/>
              <w:marTop w:val="0"/>
              <w:marBottom w:val="0"/>
              <w:divBdr>
                <w:top w:val="none" w:sz="0" w:space="0" w:color="auto"/>
                <w:left w:val="none" w:sz="0" w:space="0" w:color="auto"/>
                <w:bottom w:val="none" w:sz="0" w:space="0" w:color="auto"/>
                <w:right w:val="none" w:sz="0" w:space="0" w:color="auto"/>
              </w:divBdr>
            </w:div>
            <w:div w:id="694772465">
              <w:marLeft w:val="0"/>
              <w:marRight w:val="0"/>
              <w:marTop w:val="0"/>
              <w:marBottom w:val="0"/>
              <w:divBdr>
                <w:top w:val="none" w:sz="0" w:space="0" w:color="auto"/>
                <w:left w:val="none" w:sz="0" w:space="0" w:color="auto"/>
                <w:bottom w:val="none" w:sz="0" w:space="0" w:color="auto"/>
                <w:right w:val="none" w:sz="0" w:space="0" w:color="auto"/>
              </w:divBdr>
            </w:div>
            <w:div w:id="1112554436">
              <w:marLeft w:val="0"/>
              <w:marRight w:val="0"/>
              <w:marTop w:val="0"/>
              <w:marBottom w:val="0"/>
              <w:divBdr>
                <w:top w:val="none" w:sz="0" w:space="0" w:color="auto"/>
                <w:left w:val="none" w:sz="0" w:space="0" w:color="auto"/>
                <w:bottom w:val="none" w:sz="0" w:space="0" w:color="auto"/>
                <w:right w:val="none" w:sz="0" w:space="0" w:color="auto"/>
              </w:divBdr>
            </w:div>
            <w:div w:id="1752655786">
              <w:marLeft w:val="0"/>
              <w:marRight w:val="0"/>
              <w:marTop w:val="0"/>
              <w:marBottom w:val="0"/>
              <w:divBdr>
                <w:top w:val="none" w:sz="0" w:space="0" w:color="auto"/>
                <w:left w:val="none" w:sz="0" w:space="0" w:color="auto"/>
                <w:bottom w:val="none" w:sz="0" w:space="0" w:color="auto"/>
                <w:right w:val="none" w:sz="0" w:space="0" w:color="auto"/>
              </w:divBdr>
            </w:div>
            <w:div w:id="81803973">
              <w:marLeft w:val="0"/>
              <w:marRight w:val="0"/>
              <w:marTop w:val="0"/>
              <w:marBottom w:val="0"/>
              <w:divBdr>
                <w:top w:val="none" w:sz="0" w:space="0" w:color="auto"/>
                <w:left w:val="none" w:sz="0" w:space="0" w:color="auto"/>
                <w:bottom w:val="none" w:sz="0" w:space="0" w:color="auto"/>
                <w:right w:val="none" w:sz="0" w:space="0" w:color="auto"/>
              </w:divBdr>
            </w:div>
          </w:divsChild>
        </w:div>
        <w:div w:id="886379267">
          <w:marLeft w:val="0"/>
          <w:marRight w:val="0"/>
          <w:marTop w:val="0"/>
          <w:marBottom w:val="0"/>
          <w:divBdr>
            <w:top w:val="none" w:sz="0" w:space="0" w:color="auto"/>
            <w:left w:val="none" w:sz="0" w:space="0" w:color="auto"/>
            <w:bottom w:val="none" w:sz="0" w:space="0" w:color="auto"/>
            <w:right w:val="none" w:sz="0" w:space="0" w:color="auto"/>
          </w:divBdr>
          <w:divsChild>
            <w:div w:id="1315379165">
              <w:marLeft w:val="0"/>
              <w:marRight w:val="0"/>
              <w:marTop w:val="0"/>
              <w:marBottom w:val="0"/>
              <w:divBdr>
                <w:top w:val="none" w:sz="0" w:space="0" w:color="auto"/>
                <w:left w:val="none" w:sz="0" w:space="0" w:color="auto"/>
                <w:bottom w:val="none" w:sz="0" w:space="0" w:color="auto"/>
                <w:right w:val="none" w:sz="0" w:space="0" w:color="auto"/>
              </w:divBdr>
            </w:div>
            <w:div w:id="1817993678">
              <w:marLeft w:val="0"/>
              <w:marRight w:val="0"/>
              <w:marTop w:val="0"/>
              <w:marBottom w:val="0"/>
              <w:divBdr>
                <w:top w:val="none" w:sz="0" w:space="0" w:color="auto"/>
                <w:left w:val="none" w:sz="0" w:space="0" w:color="auto"/>
                <w:bottom w:val="none" w:sz="0" w:space="0" w:color="auto"/>
                <w:right w:val="none" w:sz="0" w:space="0" w:color="auto"/>
              </w:divBdr>
            </w:div>
            <w:div w:id="800995050">
              <w:marLeft w:val="0"/>
              <w:marRight w:val="0"/>
              <w:marTop w:val="0"/>
              <w:marBottom w:val="0"/>
              <w:divBdr>
                <w:top w:val="none" w:sz="0" w:space="0" w:color="auto"/>
                <w:left w:val="none" w:sz="0" w:space="0" w:color="auto"/>
                <w:bottom w:val="none" w:sz="0" w:space="0" w:color="auto"/>
                <w:right w:val="none" w:sz="0" w:space="0" w:color="auto"/>
              </w:divBdr>
            </w:div>
            <w:div w:id="12397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2283">
      <w:bodyDiv w:val="1"/>
      <w:marLeft w:val="0"/>
      <w:marRight w:val="0"/>
      <w:marTop w:val="0"/>
      <w:marBottom w:val="0"/>
      <w:divBdr>
        <w:top w:val="none" w:sz="0" w:space="0" w:color="auto"/>
        <w:left w:val="none" w:sz="0" w:space="0" w:color="auto"/>
        <w:bottom w:val="none" w:sz="0" w:space="0" w:color="auto"/>
        <w:right w:val="none" w:sz="0" w:space="0" w:color="auto"/>
      </w:divBdr>
      <w:divsChild>
        <w:div w:id="1356999471">
          <w:marLeft w:val="0"/>
          <w:marRight w:val="0"/>
          <w:marTop w:val="0"/>
          <w:marBottom w:val="0"/>
          <w:divBdr>
            <w:top w:val="none" w:sz="0" w:space="0" w:color="auto"/>
            <w:left w:val="none" w:sz="0" w:space="0" w:color="auto"/>
            <w:bottom w:val="none" w:sz="0" w:space="0" w:color="auto"/>
            <w:right w:val="none" w:sz="0" w:space="0" w:color="auto"/>
          </w:divBdr>
        </w:div>
        <w:div w:id="1052000761">
          <w:marLeft w:val="0"/>
          <w:marRight w:val="0"/>
          <w:marTop w:val="0"/>
          <w:marBottom w:val="0"/>
          <w:divBdr>
            <w:top w:val="none" w:sz="0" w:space="0" w:color="auto"/>
            <w:left w:val="none" w:sz="0" w:space="0" w:color="auto"/>
            <w:bottom w:val="none" w:sz="0" w:space="0" w:color="auto"/>
            <w:right w:val="none" w:sz="0" w:space="0" w:color="auto"/>
          </w:divBdr>
        </w:div>
        <w:div w:id="139925525">
          <w:marLeft w:val="0"/>
          <w:marRight w:val="0"/>
          <w:marTop w:val="0"/>
          <w:marBottom w:val="0"/>
          <w:divBdr>
            <w:top w:val="none" w:sz="0" w:space="0" w:color="auto"/>
            <w:left w:val="none" w:sz="0" w:space="0" w:color="auto"/>
            <w:bottom w:val="none" w:sz="0" w:space="0" w:color="auto"/>
            <w:right w:val="none" w:sz="0" w:space="0" w:color="auto"/>
          </w:divBdr>
        </w:div>
      </w:divsChild>
    </w:div>
    <w:div w:id="1890531330">
      <w:bodyDiv w:val="1"/>
      <w:marLeft w:val="0"/>
      <w:marRight w:val="0"/>
      <w:marTop w:val="0"/>
      <w:marBottom w:val="0"/>
      <w:divBdr>
        <w:top w:val="none" w:sz="0" w:space="0" w:color="auto"/>
        <w:left w:val="none" w:sz="0" w:space="0" w:color="auto"/>
        <w:bottom w:val="none" w:sz="0" w:space="0" w:color="auto"/>
        <w:right w:val="none" w:sz="0" w:space="0" w:color="auto"/>
      </w:divBdr>
      <w:divsChild>
        <w:div w:id="1193035856">
          <w:marLeft w:val="0"/>
          <w:marRight w:val="0"/>
          <w:marTop w:val="0"/>
          <w:marBottom w:val="0"/>
          <w:divBdr>
            <w:top w:val="none" w:sz="0" w:space="0" w:color="auto"/>
            <w:left w:val="none" w:sz="0" w:space="0" w:color="auto"/>
            <w:bottom w:val="none" w:sz="0" w:space="0" w:color="auto"/>
            <w:right w:val="none" w:sz="0" w:space="0" w:color="auto"/>
          </w:divBdr>
        </w:div>
        <w:div w:id="1338536948">
          <w:marLeft w:val="0"/>
          <w:marRight w:val="0"/>
          <w:marTop w:val="0"/>
          <w:marBottom w:val="0"/>
          <w:divBdr>
            <w:top w:val="none" w:sz="0" w:space="0" w:color="auto"/>
            <w:left w:val="none" w:sz="0" w:space="0" w:color="auto"/>
            <w:bottom w:val="none" w:sz="0" w:space="0" w:color="auto"/>
            <w:right w:val="none" w:sz="0" w:space="0" w:color="auto"/>
          </w:divBdr>
        </w:div>
        <w:div w:id="20753531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www.ghsupplychain.org/" TargetMode="External"/><Relationship Id="rId17" Type="http://schemas.openxmlformats.org/officeDocument/2006/relationships/hyperlink" Target="https://www.python.org/downloads/"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chemonics.sharepoint.com/sites/FO000/800/Templates/Template_Reports/ReportTemplateA4-USAIDonly-508.dotx" TargetMode="External"/></Relationships>
</file>

<file path=word/theme/theme1.xml><?xml version="1.0" encoding="utf-8"?>
<a:theme xmlns:a="http://schemas.openxmlformats.org/drawingml/2006/main" name="Office Theme">
  <a:themeElements>
    <a:clrScheme name="USAID">
      <a:dk1>
        <a:sysClr val="windowText" lastClr="000000"/>
      </a:dk1>
      <a:lt1>
        <a:srgbClr val="FFFFFF"/>
      </a:lt1>
      <a:dk2>
        <a:srgbClr val="002F6C"/>
      </a:dk2>
      <a:lt2>
        <a:srgbClr val="BA0C2F"/>
      </a:lt2>
      <a:accent1>
        <a:srgbClr val="0067B9"/>
      </a:accent1>
      <a:accent2>
        <a:srgbClr val="A7C6ED"/>
      </a:accent2>
      <a:accent3>
        <a:srgbClr val="651D32"/>
      </a:accent3>
      <a:accent4>
        <a:srgbClr val="6C6463"/>
      </a:accent4>
      <a:accent5>
        <a:srgbClr val="8C8985"/>
      </a:accent5>
      <a:accent6>
        <a:srgbClr val="CFCDC9"/>
      </a:accent6>
      <a:hlink>
        <a:srgbClr val="6C6463"/>
      </a:hlink>
      <a:folHlink>
        <a:srgbClr val="6C646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24D202D64A774EA91CF99016CB403C" ma:contentTypeVersion="6" ma:contentTypeDescription="Create a new document." ma:contentTypeScope="" ma:versionID="9eff710d917c996626b2c47aedf678a3">
  <xsd:schema xmlns:xsd="http://www.w3.org/2001/XMLSchema" xmlns:xs="http://www.w3.org/2001/XMLSchema" xmlns:p="http://schemas.microsoft.com/office/2006/metadata/properties" xmlns:ns2="db9f14e9-bc7d-48f2-b762-7cc15a70bd2c" xmlns:ns3="3e3e48cd-6515-49bb-a79c-bbbda0c804c3" targetNamespace="http://schemas.microsoft.com/office/2006/metadata/properties" ma:root="true" ma:fieldsID="5647ebd2f50db3e6d70d847c22cbc5b6" ns2:_="" ns3:_="">
    <xsd:import namespace="db9f14e9-bc7d-48f2-b762-7cc15a70bd2c"/>
    <xsd:import namespace="3e3e48cd-6515-49bb-a79c-bbbda0c80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f14e9-bc7d-48f2-b762-7cc15a70bd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3e48cd-6515-49bb-a79c-bbbda0c80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5F34B-2161-4A64-9150-97D72FF23544}">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schemas.openxmlformats.org/package/2006/metadata/core-properties"/>
    <ds:schemaRef ds:uri="3e3e48cd-6515-49bb-a79c-bbbda0c804c3"/>
    <ds:schemaRef ds:uri="db9f14e9-bc7d-48f2-b762-7cc15a70bd2c"/>
    <ds:schemaRef ds:uri="http://purl.org/dc/terms/"/>
  </ds:schemaRefs>
</ds:datastoreItem>
</file>

<file path=customXml/itemProps2.xml><?xml version="1.0" encoding="utf-8"?>
<ds:datastoreItem xmlns:ds="http://schemas.openxmlformats.org/officeDocument/2006/customXml" ds:itemID="{3EF8C00C-1D03-40AF-822F-4BF127B52E4E}">
  <ds:schemaRefs>
    <ds:schemaRef ds:uri="http://schemas.microsoft.com/sharepoint/v3/contenttype/forms"/>
  </ds:schemaRefs>
</ds:datastoreItem>
</file>

<file path=customXml/itemProps3.xml><?xml version="1.0" encoding="utf-8"?>
<ds:datastoreItem xmlns:ds="http://schemas.openxmlformats.org/officeDocument/2006/customXml" ds:itemID="{246BA0EB-FEF0-4D84-BFFF-48F91D896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f14e9-bc7d-48f2-b762-7cc15a70bd2c"/>
    <ds:schemaRef ds:uri="3e3e48cd-6515-49bb-a79c-bbbda0c80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8C3AF-9650-4494-A42B-458E3457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ReportTemplateA4-USAIDonly-508.dotx</Template>
  <TotalTime>238</TotalTime>
  <Pages>15</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Clare Isaacson</cp:lastModifiedBy>
  <cp:revision>9</cp:revision>
  <dcterms:created xsi:type="dcterms:W3CDTF">2022-09-30T16:15:00Z</dcterms:created>
  <dcterms:modified xsi:type="dcterms:W3CDTF">2022-11-11T17:23:00Z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0x0101008E24D202D64A774EA91CF99016CB403C</vt:lpwstr>
  </property>
  <property fmtid="{D5CDD505-2E9C-101B-9397-08002B2CF9AE}" pid="3" name="Project Document Type">
    <vt:lpwstr/>
  </property>
</Properties>
</file>