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50"/>
        <w:gridCol w:w="6210"/>
        <w:tblGridChange w:id="0">
          <w:tblGrid>
            <w:gridCol w:w="3150"/>
            <w:gridCol w:w="6210"/>
          </w:tblGrid>
        </w:tblGridChange>
      </w:tblGrid>
      <w:tr>
        <w:trPr>
          <w:cantSplit w:val="0"/>
          <w:trHeight w:val="197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Event: 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of structural collapse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footprint area: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Max. collapse distance: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Max. Debris distance: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Building Material: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Structural system: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 of stories: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Approximate total height: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Apparent irregularities: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Approximate construction date: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2010 Port au Prince, Haiti Earthquake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Notes from cursory research: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Extensive damage from earthquake and tsunami, but </w:t>
      </w:r>
      <w:r w:rsidDel="00000000" w:rsidR="00000000" w:rsidRPr="00000000">
        <w:rPr>
          <w:b w:val="1"/>
          <w:u w:val="single"/>
          <w:rtl w:val="0"/>
        </w:rPr>
        <w:t xml:space="preserve">no info on collapse of tall buildings</w:t>
      </w:r>
      <w:r w:rsidDel="00000000" w:rsidR="00000000" w:rsidRPr="00000000">
        <w:rPr>
          <w:rtl w:val="0"/>
        </w:rPr>
        <w:t xml:space="preserve"> (i.e., &gt; 4 stories)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EERI Special Earthquake Report (May 2010, Parts #1 &amp; #2):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Critical structural damage was mainly due to absence of proper detailing in the structural elements, with failure of brittle columns as the main cause of collapse. Some structures had soft-story issues. </w:t>
      </w:r>
    </w:p>
    <w:tbl>
      <w:tblPr>
        <w:tblStyle w:val="Table2"/>
        <w:tblW w:w="9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423"/>
        <w:gridCol w:w="2785"/>
        <w:gridCol w:w="283"/>
        <w:gridCol w:w="2836"/>
        <w:tblGridChange w:id="0">
          <w:tblGrid>
            <w:gridCol w:w="3118"/>
            <w:gridCol w:w="423"/>
            <w:gridCol w:w="2785"/>
            <w:gridCol w:w="283"/>
            <w:gridCol w:w="2836"/>
          </w:tblGrid>
        </w:tblGridChange>
      </w:tblGrid>
      <w:tr>
        <w:trPr>
          <w:cantSplit w:val="0"/>
          <w:trHeight w:val="2501" w:hRule="atLeast"/>
          <w:tblHeader w:val="0"/>
        </w:trPr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0C46"/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40C46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GK4TN+iI9jJymX9d1rnWkz8uLQ==">AMUW2mXA4MZkNT96pEZEWgCfMsfHZHd9/mGZgMf1eOmPvQ6PBHrLo11rnBsHjO3MeIkOOOIrL3XcQPjh++WGJ0cMHIMrt2kL8qUVyUGp/J7oiN4w6FZkcOA=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2023-03-17T15:29:00Z</dcterms:created>
  <dc:creator>Francisco Galvis</dc:creator>
</cp:coreProperties>
</file>