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D4A5C"/>
          <w:sz w:val="36"/>
          <w:szCs w:val="36"/>
        </w:rPr>
        <w:t xml:space="preserve">Calm sub Presiune</w:t>
      </w:r>
    </w:p>
    <w:p>
      <w:pPr>
        <w:spacing w:after="160"/>
        <w:jc w:val="center"/>
      </w:pPr>
      <w:r>
        <w:rPr>
          <w:color w:val="A0715A"/>
          <w:sz w:val="28"/>
          <w:szCs w:val="28"/>
        </w:rPr>
        <w:t xml:space="preserve">Registru de competențe</w:t>
      </w:r>
    </w:p>
    <w:p>
      <w:pPr>
        <w:spacing w:after="100"/>
      </w:pPr>
      <w:r>
        <w:rPr>
          <w:sz w:val="22"/>
          <w:szCs w:val="22"/>
        </w:rPr>
        <w:t xml:space="preserve">Nume participant: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Data programului: ________________________________________________</w:t>
      </w:r>
    </w:p>
    <w:p>
      <w:pPr>
        <w:spacing w:after="100"/>
      </w:pPr>
      <w:r>
        <w:rPr>
          <w:sz w:val="22"/>
          <w:szCs w:val="22"/>
        </w:rPr>
        <w:t xml:space="preserve">Facilitator: ________________________________________________</w:t>
      </w:r>
    </w:p>
    <w:p>
      <w:pPr>
        <w:spacing w:after="120" w:before="200"/>
      </w:pPr>
      <w:r>
        <w:rPr>
          <w:b/>
          <w:bCs/>
          <w:color w:val="2D4A5C"/>
          <w:sz w:val="24"/>
          <w:szCs w:val="24"/>
        </w:rPr>
        <w:t xml:space="preserve">Competențe evaluate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**Recognise** the physiological and behavioural signs of escalation in themselves and others.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**Apply** at least 3 emotional self-regulation techniques during a tense interaction and describe the effect in writing.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**Analyse** a conflict situation using a structured framework (positions, interests, needs).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**Choose** an appropriate de-escalation strategy based on the level of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**Respond** with a calm, clear, professional message under pressure.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**Set and maintain** boundaries when confronted with aggression, blame or unreasonable demands.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**Create** a personal calm-under-pressure plan for the next 30 days.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**Identify** when a situation requires referral to HR, mediation, management or professional support.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Pause the activity calmly.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Acknowledge the emotion: *„Văd că acest scenariu atinge ceva personal. Nu trebuie să continuăm."*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options: observe, take a break, or speak privately.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 not offer counselling, diagnosis or advice beyond the program scope.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Refer to appropriate support if needed (HR, EAP, therapist, manager).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Return the group to the skills focus.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Thank them for trusting the group.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State clearly: *„Acest program nu oferă terapie, consiliere sau mediere. Vă recomand să discutați cu un specialist."*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Offer a private follow-up to identify referral options.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Document the referral offer.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**Content review cycle:** Program content is reviewed every 6 months or after significant research updates on stress, conflict or de-escalation.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**Facilitator debrief:** After each delivery, facilitators complete a 15-minute debrief form noting what worked, what did not and any emotional intensity.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**Participant feedback analysis:** Feedback scores and comments are reviewed after every 3 deliveries.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**Update log:** All changes to the PMD are logged with date, reason and approver.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**Sector validation:** Sector-specific scenarios are reviewed by at least one practitioner every 12 months.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0"/>
                <w:szCs w:val="20"/>
              </w:rPr>
              <w:t xml:space="preserve">**Safety audit:** Once per year, scenarios and role-play boundaries are reviewed to ensure they do not trigger unresolved trauma or require therapeutic intervention.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18"/>
                <w:szCs w:val="18"/>
              </w:rPr>
              <w:t xml:space="preserve">Nivel demonstrat: □ În curs de dezvoltare  □ Competent  □ Avansat</w:t>
            </w:r>
          </w:p>
        </w:tc>
      </w:tr>
    </w:tbl>
    <w:p>
      <w:pPr>
        <w:spacing w:after="100" w:before="160"/>
      </w:pPr>
      <w:r>
        <w:rPr>
          <w:sz w:val="22"/>
          <w:szCs w:val="22"/>
        </w:rPr>
      </w:r>
    </w:p>
    <w:p>
      <w:pPr>
        <w:spacing w:after="100"/>
      </w:pPr>
      <w:r>
        <w:rPr>
          <w:sz w:val="22"/>
          <w:szCs w:val="22"/>
        </w:rPr>
      </w:r>
    </w:p>
    <w:p>
      <w:pPr>
        <w:spacing w:after="80" w:before="200"/>
      </w:pPr>
      <w:r>
        <w:rPr>
          <w:sz w:val="22"/>
          <w:szCs w:val="22"/>
        </w:rPr>
      </w:r>
    </w:p>
    <w:p>
      <w:pPr>
        <w:spacing w:after="80"/>
      </w:pPr>
      <w:r>
        <w:rPr>
          <w:sz w:val="22"/>
          <w:szCs w:val="22"/>
        </w:rPr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Registru_de_competente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2026-07-12T18:40:05.583Z</dcterms:created>
  <dcterms:modified xsi:type="dcterms:W3CDTF">2026-07-12T18:40:05.584Z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