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0"/>
        <w:gridCol w:w="6537"/>
        <w:gridCol w:w="973"/>
      </w:tblGrid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Figura 1.</w:t>
            </w: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Gráfico comparativo del sector lácteo en Asturias y en España.</w:t>
            </w: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Figura 2.</w:t>
            </w: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 xml:space="preserve">Ciclo de vida de las tecnologías relacionadas con derivados lácteos </w:t>
            </w: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Figura 3.</w:t>
            </w: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Estructura de la lactosa</w:t>
            </w: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Figura 4.</w:t>
            </w: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Estructura de la fructosa</w:t>
            </w: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12</w:t>
            </w: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Figura 5.</w:t>
            </w: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Estructura del sorbitol</w:t>
            </w: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12</w:t>
            </w: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Figura 6.</w:t>
            </w: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 xml:space="preserve">Estructura del ácido </w:t>
            </w:r>
            <w:proofErr w:type="spellStart"/>
            <w:r w:rsidRPr="00A502DD">
              <w:rPr>
                <w:rFonts w:ascii="Arial" w:hAnsi="Arial" w:cs="Arial"/>
                <w:sz w:val="22"/>
                <w:szCs w:val="22"/>
              </w:rPr>
              <w:t>lactobiónico</w:t>
            </w:r>
            <w:proofErr w:type="spellEnd"/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13</w:t>
            </w: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Figura 7.</w:t>
            </w: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 xml:space="preserve">Esquema de la reacción de oxidación de lactosa a ácido </w:t>
            </w:r>
            <w:proofErr w:type="spellStart"/>
            <w:r w:rsidRPr="00A502DD">
              <w:rPr>
                <w:rFonts w:ascii="Arial" w:hAnsi="Arial" w:cs="Arial"/>
                <w:sz w:val="22"/>
                <w:szCs w:val="22"/>
              </w:rPr>
              <w:t>lactobiónico</w:t>
            </w:r>
            <w:proofErr w:type="spellEnd"/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14</w:t>
            </w: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Figura 8.</w:t>
            </w: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 xml:space="preserve">Esquema de la reacción de oxidación de lactosa a ácido </w:t>
            </w:r>
            <w:proofErr w:type="spellStart"/>
            <w:r w:rsidRPr="00A502DD">
              <w:rPr>
                <w:rFonts w:ascii="Arial" w:hAnsi="Arial" w:cs="Arial"/>
                <w:sz w:val="22"/>
                <w:szCs w:val="22"/>
              </w:rPr>
              <w:t>lactobiónico</w:t>
            </w:r>
            <w:proofErr w:type="spellEnd"/>
            <w:r w:rsidRPr="00A502DD">
              <w:rPr>
                <w:rFonts w:ascii="Arial" w:hAnsi="Arial" w:cs="Arial"/>
                <w:sz w:val="22"/>
                <w:szCs w:val="22"/>
              </w:rPr>
              <w:t xml:space="preserve"> mediante el uso del complejo enzimático GFOR/GL</w:t>
            </w: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15</w:t>
            </w: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Figura 9.</w:t>
            </w: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 xml:space="preserve">Diagrama de bloques del proceso general de obtención de ácido </w:t>
            </w:r>
            <w:proofErr w:type="spellStart"/>
            <w:r w:rsidRPr="00A502DD">
              <w:rPr>
                <w:rFonts w:ascii="Arial" w:hAnsi="Arial" w:cs="Arial"/>
                <w:sz w:val="22"/>
                <w:szCs w:val="22"/>
              </w:rPr>
              <w:t>lactobiónico</w:t>
            </w:r>
            <w:proofErr w:type="spellEnd"/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17</w:t>
            </w: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Figura 10.</w:t>
            </w: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Diagrama de bloques de las etapas de separación de productos</w:t>
            </w: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17</w:t>
            </w: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Figura 11.</w:t>
            </w: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Diagrama de flujo de las etapas de separación de productos.</w:t>
            </w: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18</w:t>
            </w: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Figura 12.</w:t>
            </w: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Esquema de una columna de destilación continua</w:t>
            </w: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21</w:t>
            </w: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Figura 13.</w:t>
            </w: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Representación esquemática de un proceso de separación por membranas</w:t>
            </w: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22</w:t>
            </w: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Figura 14.</w:t>
            </w: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Modo de operación en cromatografía discontinua por etapas</w:t>
            </w: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25</w:t>
            </w: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Figura 15.</w:t>
            </w: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Esquema de un sistema de cromatografía en contracorriente en lecho móvil verdadero (TMB) para la separación de dos componentes A y B.</w:t>
            </w: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27</w:t>
            </w: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Figura 16.</w:t>
            </w: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Esquema de un proceso SMB con 8 columnas. F (alimentación); R (refinado); D (</w:t>
            </w:r>
            <w:proofErr w:type="spellStart"/>
            <w:r w:rsidRPr="00A502DD">
              <w:rPr>
                <w:rFonts w:ascii="Arial" w:hAnsi="Arial" w:cs="Arial"/>
                <w:sz w:val="22"/>
                <w:szCs w:val="22"/>
              </w:rPr>
              <w:t>desorbente</w:t>
            </w:r>
            <w:proofErr w:type="spellEnd"/>
            <w:r w:rsidRPr="00A502DD">
              <w:rPr>
                <w:rFonts w:ascii="Arial" w:hAnsi="Arial" w:cs="Arial"/>
                <w:sz w:val="22"/>
                <w:szCs w:val="22"/>
              </w:rPr>
              <w:t>); E (extracción)</w:t>
            </w: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28</w:t>
            </w: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Figura 17.</w:t>
            </w: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 xml:space="preserve">Esquema de sistemas </w:t>
            </w:r>
            <w:proofErr w:type="spellStart"/>
            <w:r w:rsidRPr="00A502DD">
              <w:rPr>
                <w:rFonts w:ascii="Arial" w:hAnsi="Arial" w:cs="Arial"/>
                <w:sz w:val="22"/>
                <w:szCs w:val="22"/>
              </w:rPr>
              <w:t>cromatográficos</w:t>
            </w:r>
            <w:proofErr w:type="spellEnd"/>
            <w:r w:rsidRPr="00A502DD">
              <w:rPr>
                <w:rFonts w:ascii="Arial" w:hAnsi="Arial" w:cs="Arial"/>
                <w:sz w:val="22"/>
                <w:szCs w:val="22"/>
              </w:rPr>
              <w:t xml:space="preserve"> para la separación de la mezcla de la oxidación de la lactosa mediante el uso de células Z. </w:t>
            </w:r>
            <w:proofErr w:type="spellStart"/>
            <w:r w:rsidRPr="00A502DD">
              <w:rPr>
                <w:rFonts w:ascii="Arial" w:hAnsi="Arial" w:cs="Arial"/>
                <w:sz w:val="22"/>
                <w:szCs w:val="22"/>
              </w:rPr>
              <w:t>Mobilis</w:t>
            </w:r>
            <w:proofErr w:type="spellEnd"/>
            <w:r w:rsidRPr="00A502DD">
              <w:rPr>
                <w:rFonts w:ascii="Arial" w:hAnsi="Arial" w:cs="Arial"/>
                <w:sz w:val="22"/>
                <w:szCs w:val="22"/>
              </w:rPr>
              <w:t>, mediante una unidad SMB 1 (para separar LBA) conectada a otra unidad SMB 2 (para recuperar el sorbitol y permitir el reciclaje de los sustratos)</w:t>
            </w: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30</w:t>
            </w: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 xml:space="preserve">Figura 18. </w:t>
            </w: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Diagrama de bloques del proceso</w:t>
            </w: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31</w:t>
            </w: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B1696F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Figura 19.</w:t>
            </w:r>
          </w:p>
        </w:tc>
        <w:tc>
          <w:tcPr>
            <w:tcW w:w="6946" w:type="dxa"/>
            <w:vAlign w:val="center"/>
          </w:tcPr>
          <w:p w:rsidR="00DB2A51" w:rsidRPr="00A502DD" w:rsidRDefault="00B1696F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Diagrama de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Moody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para el cálculo del factor de fricción de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Fanning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en función del número de Reynolds</w:t>
            </w:r>
          </w:p>
        </w:tc>
        <w:tc>
          <w:tcPr>
            <w:tcW w:w="1017" w:type="dxa"/>
            <w:vAlign w:val="center"/>
          </w:tcPr>
          <w:p w:rsidR="00DB2A51" w:rsidRPr="00A502DD" w:rsidRDefault="00B1696F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44</w:t>
            </w: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A47F7E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Figura 20.</w:t>
            </w:r>
          </w:p>
        </w:tc>
        <w:tc>
          <w:tcPr>
            <w:tcW w:w="6946" w:type="dxa"/>
            <w:vAlign w:val="center"/>
          </w:tcPr>
          <w:p w:rsidR="00DB2A51" w:rsidRPr="00A502DD" w:rsidRDefault="00A47F7E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Capas de protección en una planta de proceso</w:t>
            </w:r>
          </w:p>
        </w:tc>
        <w:tc>
          <w:tcPr>
            <w:tcW w:w="1017" w:type="dxa"/>
            <w:vAlign w:val="center"/>
          </w:tcPr>
          <w:p w:rsidR="00DB2A51" w:rsidRPr="00A502DD" w:rsidRDefault="00A47F7E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55</w:t>
            </w: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A47F7E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Figura 21.</w:t>
            </w:r>
          </w:p>
        </w:tc>
        <w:tc>
          <w:tcPr>
            <w:tcW w:w="6946" w:type="dxa"/>
            <w:vAlign w:val="center"/>
          </w:tcPr>
          <w:p w:rsidR="00DB2A51" w:rsidRPr="00A502DD" w:rsidRDefault="00A47F7E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Matriz de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Leopold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para la evaluación del impacto ambiental. (</w:t>
            </w:r>
            <w:r>
              <w:rPr>
                <w:rFonts w:ascii="Arial" w:hAnsi="Arial" w:cs="Arial"/>
                <w:noProof/>
                <w:sz w:val="22"/>
                <w:szCs w:val="22"/>
                <w:lang w:val="es-ES"/>
              </w:rPr>
              <w:t>C) denota Transporte.</w:t>
            </w:r>
          </w:p>
        </w:tc>
        <w:tc>
          <w:tcPr>
            <w:tcW w:w="1017" w:type="dxa"/>
            <w:vAlign w:val="center"/>
          </w:tcPr>
          <w:p w:rsidR="00DB2A51" w:rsidRPr="00A502DD" w:rsidRDefault="00A47F7E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58</w:t>
            </w: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792263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Figura 22.</w:t>
            </w:r>
          </w:p>
        </w:tc>
        <w:tc>
          <w:tcPr>
            <w:tcW w:w="6946" w:type="dxa"/>
            <w:vAlign w:val="center"/>
          </w:tcPr>
          <w:p w:rsidR="00DB2A51" w:rsidRPr="00A502DD" w:rsidRDefault="00792263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Esquema de las operaciones necesarias para el cálculo del flujo neto de caja libre del proyecto</w:t>
            </w:r>
          </w:p>
        </w:tc>
        <w:tc>
          <w:tcPr>
            <w:tcW w:w="1017" w:type="dxa"/>
            <w:vAlign w:val="center"/>
          </w:tcPr>
          <w:p w:rsidR="00DB2A51" w:rsidRPr="00A502DD" w:rsidRDefault="00792263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68</w:t>
            </w: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792263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Figura 23.</w:t>
            </w:r>
          </w:p>
        </w:tc>
        <w:tc>
          <w:tcPr>
            <w:tcW w:w="6946" w:type="dxa"/>
            <w:vAlign w:val="center"/>
          </w:tcPr>
          <w:p w:rsidR="00DB2A51" w:rsidRPr="00A502DD" w:rsidRDefault="00792263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Representación del VAN frente a un periodo de tiempo de 10 años</w:t>
            </w:r>
          </w:p>
        </w:tc>
        <w:tc>
          <w:tcPr>
            <w:tcW w:w="1017" w:type="dxa"/>
            <w:vAlign w:val="center"/>
          </w:tcPr>
          <w:p w:rsidR="00DB2A51" w:rsidRPr="00A502DD" w:rsidRDefault="00792263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69</w:t>
            </w: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792263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Figura 24.</w:t>
            </w:r>
          </w:p>
        </w:tc>
        <w:tc>
          <w:tcPr>
            <w:tcW w:w="6946" w:type="dxa"/>
            <w:vAlign w:val="center"/>
          </w:tcPr>
          <w:p w:rsidR="00DB2A51" w:rsidRPr="00A502DD" w:rsidRDefault="00792263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Análisis de rentabilidad mediante la representación del VAN frente a la tasa de rentabilidad, r.</w:t>
            </w:r>
          </w:p>
        </w:tc>
        <w:tc>
          <w:tcPr>
            <w:tcW w:w="1017" w:type="dxa"/>
            <w:vAlign w:val="center"/>
          </w:tcPr>
          <w:p w:rsidR="00DB2A51" w:rsidRPr="00A502DD" w:rsidRDefault="00792263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70</w:t>
            </w:r>
            <w:bookmarkStart w:id="0" w:name="_GoBack"/>
            <w:bookmarkEnd w:id="0"/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:rsidTr="00224C5B">
        <w:tc>
          <w:tcPr>
            <w:tcW w:w="1242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96E68" w:rsidRDefault="00C72F51"/>
    <w:sectPr w:rsidR="00D96E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A51"/>
    <w:rsid w:val="00792263"/>
    <w:rsid w:val="009F09B6"/>
    <w:rsid w:val="00A47F7E"/>
    <w:rsid w:val="00B1696F"/>
    <w:rsid w:val="00C13634"/>
    <w:rsid w:val="00C72F51"/>
    <w:rsid w:val="00DB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A51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B2A51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A51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B2A51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Bayer</Company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Ainoa Lara Rodriguez</dc:creator>
  <cp:lastModifiedBy>Ainoa Lara Rodriguez</cp:lastModifiedBy>
  <cp:revision>2</cp:revision>
  <dcterms:created xsi:type="dcterms:W3CDTF">2018-05-28T08:17:00Z</dcterms:created>
  <dcterms:modified xsi:type="dcterms:W3CDTF">2018-05-28T12:16:00Z</dcterms:modified>
</cp:coreProperties>
</file>