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MENAXHIMI I INVESTIMEVE PUBLIKE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KPI kryesore për dashboard:</w:t>
      </w:r>
    </w:p>
    <w:tbl>
      <w:tblPr>
        <w:tblStyle w:val="Table1"/>
        <w:tblW w:w="9945.0" w:type="dxa"/>
        <w:jc w:val="left"/>
        <w:tblInd w:w="-147.0" w:type="dxa"/>
        <w:tblLayout w:type="fixed"/>
        <w:tblLook w:val="0400"/>
      </w:tblPr>
      <w:tblGrid>
        <w:gridCol w:w="405"/>
        <w:gridCol w:w="1980"/>
        <w:gridCol w:w="3465"/>
        <w:gridCol w:w="1485"/>
        <w:gridCol w:w="2610"/>
        <w:tblGridChange w:id="0">
          <w:tblGrid>
            <w:gridCol w:w="405"/>
            <w:gridCol w:w="1980"/>
            <w:gridCol w:w="3465"/>
            <w:gridCol w:w="1485"/>
            <w:gridCol w:w="2610"/>
          </w:tblGrid>
        </w:tblGridChange>
      </w:tblGrid>
      <w:tr>
        <w:trPr>
          <w:cantSplit w:val="0"/>
          <w:trHeight w:val="217" w:hRule="atLeast"/>
          <w:tblHeader w:val="0"/>
        </w:trPr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llogaritet / Çfarë tregon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Burimi i të dhënave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Komente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FAZA 1: Planifikimi i prokurimit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1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Vlera totale e investimeve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Shuma e plotë në lekë e të gjitha investimeve publike të planifikuara në buxhet (llogaritë 230–231).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AFMIS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744" w:hRule="atLeast"/>
          <w:tblHeader w:val="0"/>
        </w:trPr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2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Përqindja e investimeve të planifikuara që janë të detajuara sipas procedurave të prokurimit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(vlera totale e elementit të parashikimit në SPE / Vlera totale e investimit sipas AFMIS) x 100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AFMIS + APP (SPE)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2.8125" w:hRule="atLeast"/>
          <w:tblHeader w:val="0"/>
        </w:trPr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Dërgimi i kërkesave pranë OBP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Vlera e buxhetit për të cilin ka ardhur kërkesa në OBP / vlerën totale të buxhetit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AFMIS + OBP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AFMIS me fishë institucionesh:  dhe kuptohet sa % ka ardhur në OBP, e lidh me dërgimin e kërkesave në OBP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8" w:hRule="atLeast"/>
          <w:tblHeader w:val="0"/>
        </w:trPr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Përqindja e procedurave të kthyera nga OBP për korrigjim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(Numri i kërkesave për prokurim të rikthyera / numri total i kërkesave për prokurim) x 100</w:t>
              <w:br w:type="textWrapping"/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Matet përqindja e kërkesave për prokurim të cilat kanë nevojë për përpunime dhe saktësime të mëtejshme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OBP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FAZA 2: Zhvillimi i procedurës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Investime të shpallura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Numri dhe / ose vlera e investimeve (procedurave të prokurimit) që janë publikuara në SPE 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OBP + APP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1.6015625" w:hRule="atLeast"/>
          <w:tblHeader w:val="0"/>
        </w:trPr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Investime të bllokuara nga ankimimi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Numri (ose vlera) i investimeve, procedura e të cilave aktualisht ka një ankim aktiv në KPP, që pengon vazhdimin e prokurimit.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KPP + APP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 janë bllokuar.</w:t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 janë bllokuar dhe u ka kaluar afati i KPP-së për t’u shprehur:regjistri i ankesave dhe vendimeve; nëse kategoria është me afat 5+5+20, kufiri merret nga APP.</w:t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Webi OCDS: regjistri i ankesave i lidhur me regjistrin e vendimeve nëpërmjet të njëjtit numër ankese.</w:t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Përqindja e vendimmarrjeve brenda afatit për ankesat që lidhen me dokumentet e tenderit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(Numri i vendimeve të marra brenda afatit ligjor / Numri total i vendimeve për ankesat mbi dokumentet e tenderit) x 100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 + KPP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0" w:line="240" w:lineRule="auto"/>
              <w:ind w:firstLine="9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FAZA 3: Vlerësimi i ofertave</w:t>
            </w:r>
          </w:p>
        </w:tc>
      </w:tr>
      <w:tr>
        <w:trPr>
          <w:cantSplit w:val="0"/>
          <w:trHeight w:val="1840.8593749999998" w:hRule="atLeast"/>
          <w:tblHeader w:val="0"/>
        </w:trPr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Përqindja e procedurave me pjesëmarrje të vlerësuara brenda afatit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Numri i procedurave me pjesëmarrje të vlerësuara brenda afatit / numri total i procedurave me pjesëmarrje) x 100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220" w:before="220"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Njoftimi i fituesit paraprak është publik. Vlerësimi i ofertave kryhet në SPE; nëse funksionon lista e fituesve, do të lidhet me numrin unik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2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Përqindja e procedurave pa pjesëmarrje të anuluara brenda afatit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(numri i procedurave pa pjesëmarrje të anuluara brenda afatit / numri total i procedurave pa pjesëmarrje) x 100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Për ankesa në fazë vlerësimi</w:t>
            </w:r>
            <w:r w:rsidDel="00000000" w:rsidR="00000000" w:rsidRPr="00000000">
              <w:rPr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3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Numri mesatar i ofertave sipas kategorisë së kontratës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Numri total i ofertave të paraqitura ÷ numri i procedurave ose loteve ku është paraqitur të paktën një ofertë. KPI-ja e ndarë sipas kategorisë së kontratës: punë, shërbime dhe mallra.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4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Përqindja e vendimmarrjeve brenda afatit për ankesat që lidhen me vlerësimin e ofertave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(Numri i vendimeve të marra brenda afatit ligjor / Numri total i vendimeve për ankesat mbi dokumentet e tenderit) x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APP + KPP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Kush janë procedurat që janë jashtë afatit të vlerësimit?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FAZA 4: Zbatimi i kontratës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Shpejtësia e lidhjes së kontratës (referuar afatit ligjor prej 60 ditësh)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Nr. I ditëve nga publikimi I njoftimit të fituesit deri në lidhjen e kontratës 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Zakonisht, afati prej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60 ditësh</w:t>
            </w:r>
            <w:r w:rsidDel="00000000" w:rsidR="00000000" w:rsidRPr="00000000">
              <w:rPr>
                <w:rtl w:val="0"/>
              </w:rPr>
              <w:t xml:space="preserve"> zbatohet vetëm për procedurat e ndërtimit. Megjithatë, në praktikë, tejkalimi i këtij afati ndodh edhe për procedurat e tjera të vlerësimit.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% e ekzekutimit financiar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(Vlera e faturave të fiskalizuara dhe të pranuara ÷ Vlera e kontratës) × 100.</w:t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Vlera e kontratës merret nga SMK; statusi i faturës (pranuar/refuzuar) verifikohet nga SIFQ. Përfshin edhe garancinë e kontratës (5%), e cila konsiderohet e realizuar vetëm pas kolaudimit.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SMK + SIFQ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Sipas Ligjit nr. 48/2016 "Për pagesat e vonuara në detyrimet kontraktore e tregtare" </w:t>
              <w:br w:type="textWrapping"/>
              <w:t xml:space="preserve">Cilat janë kontratat për të cilat shteti nuk ka kryer pagesën brenda afatit 30-ditor?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Vlera e pagesave të realizuara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Shuma totale e pagesave të kryera faktikisht nga thesari, bazuar te faturat e fiskalizuara (jo thjesht të prera).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SIFQ / Thesar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3caeb" w:space="0" w:sz="7" w:val="single"/>
              <w:left w:color="83caeb" w:space="0" w:sz="7" w:val="single"/>
              <w:bottom w:color="83caeb" w:space="0" w:sz="7" w:val="single"/>
              <w:right w:color="83caeb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Përqindja e pagesave të kryera në afat</w:t>
            </w:r>
          </w:p>
        </w:tc>
        <w:tc>
          <w:tcPr>
            <w:tcBorders>
              <w:top w:color="83caeb" w:space="0" w:sz="7" w:val="single"/>
              <w:left w:color="83caeb" w:space="0" w:sz="7" w:val="single"/>
              <w:bottom w:color="83caeb" w:space="0" w:sz="7" w:val="single"/>
              <w:right w:color="83caeb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(Numri i pagesave të kryera brenda afatit të zbatueshëm ÷ numri total i pagesave) × 100.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Treguesi monitoron realizimin e pagesave në kohë dhe mbështet vlerësimin e kushteve që ndikojnë në pjesëmarrjen e ndërmarrjeve të vogla dhe të mesme (SME).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SIFQ / Thesar 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FAZA 5: Menaxhimi i fondeve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Eficienca në planifikimet buxhetore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(Fondi limit sipas parashikimit në SPE ÷ buxheti sipas AFMIS) × 100.</w:t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(Shënim: Vlerës buxhetore në AFMIS duhet t’i zbritet TVSH)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AFMIS + APP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Në praktikë, ofertat fituese janë mesatarisht rreth 70% më të ulëta se fondi limit </w:t>
              <w:br w:type="textWrapping"/>
              <w:t xml:space="preserve">Kontrollon sa efikas ka qenë autoriteti kontraktor (institucioni) në planifikimin e buxhetit që ka kryer – mund të digjen fondet.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Përqindja e investimeve të publikuara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(Vlera e investimeve të publikuara / vlera totale e investimeve të planifikuara) x 100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AFMIS + OBP / SPE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Përqindja e investimeve të papublikuara 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(Vlera e investimeve të papublikuara / vlera totale e investimeve të planifikuara) x 100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AFMIS + APP / SPE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40% e buxhetit nuk ka kaluar në OBP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Kohëzgjatja mesatare dhe mediane e ciklit të prokurimit, sipas fazave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Numri i ditëve për fazat kryesore: nga publikimi deri në hapjen e ofertave; nga hapja e ofertave deri në njoftimin e fituesit paraprak; nga njoftimi i fituesit paraprak deri në nënshkrimin e kontratës; si dhe kohëzgjatja totale nga publikimi deri në nënshkrimin e kontratës. Të raportohen vlerat mesatare, mediane, minimale dhe maksimale. Periudhat e pezullimit formal duhet të raportohen veçmas.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 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Vlera e propozuar e referencës prej 144 ditësh duhet të verifikohet kundrejt metodologjisë zyrtare dhe përcaktimit të saktë të datës së fillimit dhe datës së përfundimit, përpara se të përdoret si benchmark institucional.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83caeb" w:space="0" w:sz="7" w:val="single"/>
              <w:left w:color="83caeb" w:space="0" w:sz="7" w:val="single"/>
              <w:bottom w:color="83caeb" w:space="0" w:sz="7" w:val="single"/>
              <w:right w:color="83caeb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Marrëdhënia ndërmjet kohëzgjatjes së ciklit të prokurimit dhe konkurrencës</w:t>
            </w:r>
          </w:p>
        </w:tc>
        <w:tc>
          <w:tcPr>
            <w:tcBorders>
              <w:top w:color="83caeb" w:space="0" w:sz="7" w:val="single"/>
              <w:left w:color="000000" w:space="0" w:sz="0" w:val="nil"/>
              <w:bottom w:color="83caeb" w:space="0" w:sz="7" w:val="single"/>
              <w:right w:color="83caeb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Analizon marrëdhënien ndërmjet numrit të ditëve nga hapja e procedurës deri në nënshkrimin e kontratës dhe numrit të ofertave të paraqitura për çdo procedurë.</w:t>
            </w:r>
          </w:p>
        </w:tc>
        <w:tc>
          <w:tcPr>
            <w:tcBorders>
              <w:top w:color="83caeb" w:space="0" w:sz="7" w:val="single"/>
              <w:left w:color="000000" w:space="0" w:sz="0" w:val="nil"/>
              <w:bottom w:color="83caeb" w:space="0" w:sz="7" w:val="single"/>
              <w:right w:color="83caeb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APP / SPE + OBP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FAZA 6: Ndikimi social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Përqindja e procedurave të prokurimit në të cilat kanë marrë pjesë NVM-të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(numri i procedurave ku ka marrë pjesë të paktën një NVM / numri total i procedurave të prokurimit) x 100 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 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Ndërmarrje të vogla dhe të mesme (NVM): 93% </w:t>
            </w:r>
          </w:p>
        </w:tc>
      </w:tr>
      <w:tr>
        <w:trPr>
          <w:cantSplit w:val="0"/>
          <w:trHeight w:val="1997.8125" w:hRule="atLeast"/>
          <w:tblHeader w:val="0"/>
        </w:trPr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Numri i të punësuarve nëpërmjet kontratave të prokurimit publik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Numri total i të punësuarve 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AKPA + DPT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 kritere për punësim nga prokurimi; sistem pikëzimi</w:t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Kush vjen nga AKPA për t'u punësuar</w:t>
            </w:r>
          </w:p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Ndihma ekonomike</w:t>
            </w:r>
          </w:p>
          <w:p w:rsidR="00000000" w:rsidDel="00000000" w:rsidP="00000000" w:rsidRDefault="00000000" w:rsidRPr="00000000" w14:paraId="000000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Prokurimi për zhvillimin ekonomik</w:t>
            </w:r>
          </w:p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Numri i personave që kanë dalë nga skema e asistencës sociale si rezultat i punësimit nëpërmjet kontratave të prokurimit publik.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Numri i përfituesve të skemës së asistencës sociale që kanë dalë nga skema si rezultat i punësimit në kontratat e prokurimit publik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AKPA + DPT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83caeb" w:space="0" w:sz="7" w:val="single"/>
              <w:left w:color="83caeb" w:space="0" w:sz="7" w:val="single"/>
              <w:bottom w:color="83caeb" w:space="0" w:sz="7" w:val="single"/>
              <w:right w:color="83caeb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="276" w:lineRule="auto"/>
              <w:ind w:left="-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3caeb" w:space="0" w:sz="7" w:val="single"/>
              <w:left w:color="000000" w:space="0" w:sz="0" w:val="nil"/>
              <w:bottom w:color="83caeb" w:space="0" w:sz="7" w:val="single"/>
              <w:right w:color="83caeb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Numri i personave nga grupet e synuara të punësuar përmes kontratave të prokurimit publik</w:t>
            </w:r>
          </w:p>
        </w:tc>
        <w:tc>
          <w:tcPr>
            <w:tcBorders>
              <w:top w:color="83caeb" w:space="0" w:sz="7" w:val="single"/>
              <w:left w:color="000000" w:space="0" w:sz="0" w:val="nil"/>
              <w:bottom w:color="83caeb" w:space="0" w:sz="7" w:val="single"/>
              <w:right w:color="83caeb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Numri i personave të punësuar përmes kontratave të prokurimit publik, i ndarë sipas kategorive: persona me aftësi të kufizuara, të rinj, persona në moshë të tretë, të papunë afatgjatë dhe grupe të tjera të identifikuara.</w:t>
            </w:r>
          </w:p>
        </w:tc>
        <w:tc>
          <w:tcPr>
            <w:tcBorders>
              <w:top w:color="83caeb" w:space="0" w:sz="7" w:val="single"/>
              <w:left w:color="000000" w:space="0" w:sz="0" w:val="nil"/>
              <w:bottom w:color="83caeb" w:space="0" w:sz="7" w:val="single"/>
              <w:right w:color="83caeb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AKPA + DPT</w:t>
            </w:r>
          </w:p>
        </w:tc>
        <w:tc>
          <w:tcPr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83caeb" w:space="0" w:sz="4" w:val="single"/>
              <w:left w:color="83caeb" w:space="0" w:sz="4" w:val="single"/>
              <w:bottom w:color="83caeb" w:space="0" w:sz="4" w:val="single"/>
              <w:right w:color="83caeb" w:space="0" w:sz="4" w:val="single"/>
            </w:tcBorders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FAZA 7:  </w:t>
            </w:r>
          </w:p>
        </w:tc>
      </w:tr>
    </w:tbl>
    <w:p w:rsidR="00000000" w:rsidDel="00000000" w:rsidP="00000000" w:rsidRDefault="00000000" w:rsidRPr="00000000" w14:paraId="000000B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797" w:right="179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454jD90J7YfCDq9MrlGuCuOdWA==">CgMxLjA4AHIhMTFrNm11NWl2MzlLMFRXZnBIYi1Jb2d4SDJIMzhpRENZ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