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SE RENDRE DANS LES MARCHES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COLLECTE EFFECTUÉE DANS LA RÉGION {region}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COLLECTE DES PRIX DES PRODUITS DE PREMIÈRE NÉCESSITE (PPN) SUR LES MARCHES.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1</Pages>
  <Words>93</Words>
  <Characters>535</Characters>
  <CharactersWithSpaces>716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2024-08-18T17:20:31Z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