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Synastry Considerations</w:t>
      </w:r>
    </w:p>
    <w:p w:rsidR="00000000" w:rsidDel="00000000" w:rsidP="00000000" w:rsidRDefault="00000000" w:rsidRPr="00000000" w14:paraId="00000002">
      <w:pPr>
        <w:rPr/>
      </w:pPr>
      <w:r w:rsidDel="00000000" w:rsidR="00000000" w:rsidRPr="00000000">
        <w:rPr>
          <w:rtl w:val="0"/>
        </w:rPr>
        <w:t xml:space="preserve">Review specifically Mars-Venus trine in synastry</w:t>
      </w:r>
    </w:p>
    <w:p w:rsidR="00000000" w:rsidDel="00000000" w:rsidP="00000000" w:rsidRDefault="00000000" w:rsidRPr="00000000" w14:paraId="00000003">
      <w:pPr>
        <w:rPr/>
      </w:pPr>
      <w:r w:rsidDel="00000000" w:rsidR="00000000" w:rsidRPr="00000000">
        <w:rPr>
          <w:rtl w:val="0"/>
        </w:rPr>
        <w:t xml:space="preserve">Review Lilith conjunct Venus in synastry</w:t>
      </w:r>
    </w:p>
    <w:p w:rsidR="00000000" w:rsidDel="00000000" w:rsidP="00000000" w:rsidRDefault="00000000" w:rsidRPr="00000000" w14:paraId="00000004">
      <w:pPr>
        <w:rPr/>
      </w:pPr>
      <w:r w:rsidDel="00000000" w:rsidR="00000000" w:rsidRPr="00000000">
        <w:rPr>
          <w:rtl w:val="0"/>
        </w:rPr>
        <w:t xml:space="preserve">Pluto conjunct Venus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rPr>
          <w:rFonts w:ascii="Helvetica Neue" w:cs="Helvetica Neue" w:eastAsia="Helvetica Neue" w:hAnsi="Helvetica Neue"/>
          <w:color w:val="ffffff"/>
          <w:sz w:val="24"/>
          <w:szCs w:val="24"/>
        </w:rPr>
      </w:pPr>
      <w:r w:rsidDel="00000000" w:rsidR="00000000" w:rsidRPr="00000000">
        <w:rPr>
          <w:rFonts w:ascii="Helvetica Neue" w:cs="Helvetica Neue" w:eastAsia="Helvetica Neue" w:hAnsi="Helvetica Neue"/>
          <w:color w:val="ffffff"/>
          <w:sz w:val="24"/>
          <w:szCs w:val="24"/>
          <w:rtl w:val="0"/>
        </w:rPr>
        <w:t xml:space="preserve">To make a synastry reading more accurate, ground your interpretation in individual natal baseline contexts, precise house overlays, and a hierarchical weighting of planetary aspects rather than relying on isolated cookbook definitions.</w:t>
      </w:r>
    </w:p>
    <w:p w:rsidR="00000000" w:rsidDel="00000000" w:rsidP="00000000" w:rsidRDefault="00000000" w:rsidRPr="00000000" w14:paraId="00000007">
      <w:pPr>
        <w:spacing w:after="180" w:before="360" w:lineRule="auto"/>
        <w:rPr>
          <w:rFonts w:ascii="Helvetica Neue" w:cs="Helvetica Neue" w:eastAsia="Helvetica Neue" w:hAnsi="Helvetica Neue"/>
          <w:color w:val="ffffff"/>
          <w:sz w:val="30"/>
          <w:szCs w:val="30"/>
        </w:rPr>
      </w:pPr>
      <w:r w:rsidDel="00000000" w:rsidR="00000000" w:rsidRPr="00000000">
        <w:rPr>
          <w:rFonts w:ascii="Helvetica Neue" w:cs="Helvetica Neue" w:eastAsia="Helvetica Neue" w:hAnsi="Helvetica Neue"/>
          <w:color w:val="ffffff"/>
          <w:sz w:val="30"/>
          <w:szCs w:val="30"/>
          <w:rtl w:val="0"/>
        </w:rPr>
        <w:t xml:space="preserve">Refine the Data and Baselines</w:t>
      </w:r>
    </w:p>
    <w:p w:rsidR="00000000" w:rsidDel="00000000" w:rsidP="00000000" w:rsidRDefault="00000000" w:rsidRPr="00000000" w14:paraId="00000008">
      <w:pPr>
        <w:numPr>
          <w:ilvl w:val="0"/>
          <w:numId w:val="2"/>
        </w:numPr>
        <w:spacing w:after="0" w:afterAutospacing="0" w:before="36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Verify Birth Times:</w:t>
      </w:r>
      <w:r w:rsidDel="00000000" w:rsidR="00000000" w:rsidRPr="00000000">
        <w:rPr>
          <w:rFonts w:ascii="Helvetica Neue" w:cs="Helvetica Neue" w:eastAsia="Helvetica Neue" w:hAnsi="Helvetica Neue"/>
          <w:color w:val="ffffff"/>
          <w:sz w:val="24"/>
          <w:szCs w:val="24"/>
          <w:rtl w:val="0"/>
        </w:rPr>
        <w:t xml:space="preserve"> Ensure both birth times are exact down to the minute. Even a few minutes' difference can shift the Ascendant and House cusps, altering house overlays entirely.</w:t>
      </w:r>
    </w:p>
    <w:p w:rsidR="00000000" w:rsidDel="00000000" w:rsidP="00000000" w:rsidRDefault="00000000" w:rsidRPr="00000000" w14:paraId="00000009">
      <w:pPr>
        <w:numPr>
          <w:ilvl w:val="0"/>
          <w:numId w:val="2"/>
        </w:numPr>
        <w:spacing w:after="660" w:before="0" w:beforeAutospacing="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Analyze Individual Natal Charts First:</w:t>
      </w:r>
      <w:r w:rsidDel="00000000" w:rsidR="00000000" w:rsidRPr="00000000">
        <w:rPr>
          <w:rFonts w:ascii="Helvetica Neue" w:cs="Helvetica Neue" w:eastAsia="Helvetica Neue" w:hAnsi="Helvetica Neue"/>
          <w:color w:val="ffffff"/>
          <w:sz w:val="24"/>
          <w:szCs w:val="24"/>
          <w:rtl w:val="0"/>
        </w:rPr>
        <w:t xml:space="preserve"> Understand each person’s standalone chart, including planetary dignities (exaltation, detriment) and current life cycles, before seeing how foreign elements intermix. You cannot accurately read how a partner's Mars triggers someone if you do not know how they handle their own natal Mars. </w:t>
      </w:r>
    </w:p>
    <w:p w:rsidR="00000000" w:rsidDel="00000000" w:rsidP="00000000" w:rsidRDefault="00000000" w:rsidRPr="00000000" w14:paraId="0000000A">
      <w:pPr>
        <w:spacing w:after="180" w:before="360" w:lineRule="auto"/>
        <w:rPr>
          <w:rFonts w:ascii="Helvetica Neue" w:cs="Helvetica Neue" w:eastAsia="Helvetica Neue" w:hAnsi="Helvetica Neue"/>
          <w:color w:val="ffffff"/>
          <w:sz w:val="30"/>
          <w:szCs w:val="30"/>
        </w:rPr>
      </w:pPr>
      <w:r w:rsidDel="00000000" w:rsidR="00000000" w:rsidRPr="00000000">
        <w:rPr>
          <w:rFonts w:ascii="Helvetica Neue" w:cs="Helvetica Neue" w:eastAsia="Helvetica Neue" w:hAnsi="Helvetica Neue"/>
          <w:color w:val="ffffff"/>
          <w:sz w:val="30"/>
          <w:szCs w:val="30"/>
          <w:rtl w:val="0"/>
        </w:rPr>
        <w:t xml:space="preserve">Structure the Analysis</w:t>
      </w:r>
    </w:p>
    <w:p w:rsidR="00000000" w:rsidDel="00000000" w:rsidP="00000000" w:rsidRDefault="00000000" w:rsidRPr="00000000" w14:paraId="0000000B">
      <w:pPr>
        <w:numPr>
          <w:ilvl w:val="0"/>
          <w:numId w:val="1"/>
        </w:numPr>
        <w:spacing w:after="0" w:afterAutospacing="0" w:before="36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Use House Overlays (The Where):</w:t>
      </w:r>
      <w:r w:rsidDel="00000000" w:rsidR="00000000" w:rsidRPr="00000000">
        <w:rPr>
          <w:rFonts w:ascii="Helvetica Neue" w:cs="Helvetica Neue" w:eastAsia="Helvetica Neue" w:hAnsi="Helvetica Neue"/>
          <w:color w:val="ffffff"/>
          <w:sz w:val="24"/>
          <w:szCs w:val="24"/>
          <w:rtl w:val="0"/>
        </w:rPr>
        <w:t xml:space="preserve"> Read whose planets fall into which houses of the other person's chart. House overlays show the practical, everyday environments and life themes (career, home, intimacy) where the dynamic plays out. </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Prioritize Personal Planets and Angles (Level 1):</w:t>
      </w:r>
      <w:r w:rsidDel="00000000" w:rsidR="00000000" w:rsidRPr="00000000">
        <w:rPr>
          <w:rFonts w:ascii="Helvetica Neue" w:cs="Helvetica Neue" w:eastAsia="Helvetica Neue" w:hAnsi="Helvetica Neue"/>
          <w:color w:val="ffffff"/>
          <w:sz w:val="24"/>
          <w:szCs w:val="24"/>
          <w:rtl w:val="0"/>
        </w:rPr>
        <w:t xml:space="preserve"> Focus heavily on Sun, Moon, Mercury, Venus, Mars, and the angles (Ascendant, Descendant, Midheaven, IC). These govern core mutual understanding, emotional resonance, and immediate chemistry. Treat outer planets (Jupiter, Saturn, Pluto) as structural containers or generational backdrops rather than primary drivers of daily compatibility. </w:t>
      </w:r>
    </w:p>
    <w:p w:rsidR="00000000" w:rsidDel="00000000" w:rsidP="00000000" w:rsidRDefault="00000000" w:rsidRPr="00000000" w14:paraId="0000000D">
      <w:pPr>
        <w:numPr>
          <w:ilvl w:val="0"/>
          <w:numId w:val="1"/>
        </w:numPr>
        <w:spacing w:after="660" w:before="0" w:beforeAutospacing="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Weigh Tight Orbs:</w:t>
      </w:r>
      <w:r w:rsidDel="00000000" w:rsidR="00000000" w:rsidRPr="00000000">
        <w:rPr>
          <w:rFonts w:ascii="Helvetica Neue" w:cs="Helvetica Neue" w:eastAsia="Helvetica Neue" w:hAnsi="Helvetica Neue"/>
          <w:color w:val="ffffff"/>
          <w:sz w:val="24"/>
          <w:szCs w:val="24"/>
          <w:rtl w:val="0"/>
        </w:rPr>
        <w:t xml:space="preserve"> Prioritize tight aspects (usually under 1 to 3 degrees) over wide orbs. Exact conjunctions or oppositions to personal points carry significantly more real-world weight.</w:t>
      </w:r>
    </w:p>
    <w:p w:rsidR="00000000" w:rsidDel="00000000" w:rsidP="00000000" w:rsidRDefault="00000000" w:rsidRPr="00000000" w14:paraId="0000000E">
      <w:pPr>
        <w:spacing w:after="180" w:before="360" w:lineRule="auto"/>
        <w:rPr>
          <w:rFonts w:ascii="Helvetica Neue" w:cs="Helvetica Neue" w:eastAsia="Helvetica Neue" w:hAnsi="Helvetica Neue"/>
          <w:color w:val="ffffff"/>
          <w:sz w:val="30"/>
          <w:szCs w:val="30"/>
        </w:rPr>
      </w:pPr>
      <w:r w:rsidDel="00000000" w:rsidR="00000000" w:rsidRPr="00000000">
        <w:rPr>
          <w:rFonts w:ascii="Helvetica Neue" w:cs="Helvetica Neue" w:eastAsia="Helvetica Neue" w:hAnsi="Helvetica Neue"/>
          <w:color w:val="ffffff"/>
          <w:sz w:val="30"/>
          <w:szCs w:val="30"/>
          <w:rtl w:val="0"/>
        </w:rPr>
        <w:t xml:space="preserve">Avoid Common Reading Pitfalls</w:t>
      </w:r>
    </w:p>
    <w:p w:rsidR="00000000" w:rsidDel="00000000" w:rsidP="00000000" w:rsidRDefault="00000000" w:rsidRPr="00000000" w14:paraId="0000000F">
      <w:pPr>
        <w:numPr>
          <w:ilvl w:val="0"/>
          <w:numId w:val="3"/>
        </w:numPr>
        <w:spacing w:after="0" w:afterAutospacing="0" w:before="36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Look Beyond "Good" vs. "Bad" Aspects:</w:t>
      </w:r>
      <w:r w:rsidDel="00000000" w:rsidR="00000000" w:rsidRPr="00000000">
        <w:rPr>
          <w:rFonts w:ascii="Helvetica Neue" w:cs="Helvetica Neue" w:eastAsia="Helvetica Neue" w:hAnsi="Helvetica Neue"/>
          <w:color w:val="ffffff"/>
          <w:sz w:val="24"/>
          <w:szCs w:val="24"/>
          <w:rtl w:val="0"/>
        </w:rPr>
        <w:t xml:space="preserve"> Hard aspects (squares, oppositions) create friction, but they also maintain growth, passion, and resilience. Soft aspects (trines, sextiles) offer ease, but an overabundance can lead to stagnation. </w:t>
      </w:r>
    </w:p>
    <w:p w:rsidR="00000000" w:rsidDel="00000000" w:rsidP="00000000" w:rsidRDefault="00000000" w:rsidRPr="00000000" w14:paraId="00000010">
      <w:pPr>
        <w:numPr>
          <w:ilvl w:val="0"/>
          <w:numId w:val="3"/>
        </w:numPr>
        <w:spacing w:after="660" w:before="0" w:beforeAutospacing="0" w:lineRule="auto"/>
        <w:ind w:left="720" w:hanging="360"/>
      </w:pPr>
      <w:r w:rsidDel="00000000" w:rsidR="00000000" w:rsidRPr="00000000">
        <w:rPr>
          <w:rFonts w:ascii="Helvetica Neue" w:cs="Helvetica Neue" w:eastAsia="Helvetica Neue" w:hAnsi="Helvetica Neue"/>
          <w:b w:val="1"/>
          <w:bCs w:val="1"/>
          <w:color w:val="ffffff"/>
          <w:sz w:val="24"/>
          <w:szCs w:val="24"/>
          <w:rtl w:val="0"/>
        </w:rPr>
        <w:t xml:space="preserve">Avoid Automated Software Generics:</w:t>
      </w:r>
      <w:r w:rsidDel="00000000" w:rsidR="00000000" w:rsidRPr="00000000">
        <w:rPr>
          <w:rFonts w:ascii="Helvetica Neue" w:cs="Helvetica Neue" w:eastAsia="Helvetica Neue" w:hAnsi="Helvetica Neue"/>
          <w:color w:val="ffffff"/>
          <w:sz w:val="24"/>
          <w:szCs w:val="24"/>
          <w:rtl w:val="0"/>
        </w:rPr>
        <w:t xml:space="preserve"> Computer-generated printouts often read aspects in a vacuum without synthesizing the whole chart. Balance technical data with a holistic view of how the two complete personalities converse.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