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IRAC/CREAC 1L Structural Spectrum Test</w:t>
      </w:r>
    </w:p>
    <w:p>
      <w:r>
        <w:t>This document is designed to exercise automatic format detection across clean IRAC, RAC, CRAC, CREAC, missing components, blended sentences, and citation-heavy application.</w:t>
      </w:r>
    </w:p>
    <w:p>
      <w:pPr>
        <w:pStyle w:val="Heading1"/>
      </w:pPr>
      <w:r>
        <w:t>1. full issue-led IRAC</w:t>
      </w:r>
    </w:p>
    <w:p>
      <w:r>
        <w:rPr>
          <w:b/>
        </w:rPr>
        <w:t xml:space="preserve">Expected badge: </w:t>
      </w:r>
      <w:r>
        <w:t>COMPLETE_IRAC</w:t>
      </w:r>
    </w:p>
    <w:p>
      <w:r>
        <w:t>The issue is whether Dana committed battery. Battery requires an intentional harmful or offensive contact with another person. Dana shoved Lee in the shoulder during the argument, and Lee stumbled backward. Therefore, Dana is likely liable for battery.</w:t>
      </w:r>
    </w:p>
    <w:p>
      <w:pPr>
        <w:pStyle w:val="Heading1"/>
      </w:pPr>
      <w:r>
        <w:t>2. issue-less RAC should not be called IRAC</w:t>
      </w:r>
    </w:p>
    <w:p>
      <w:r>
        <w:rPr>
          <w:b/>
        </w:rPr>
        <w:t xml:space="preserve">Expected badge: </w:t>
      </w:r>
      <w:r>
        <w:t>COMPLETE_RAC</w:t>
      </w:r>
    </w:p>
    <w:p>
      <w:r>
        <w:t>Battery requires an intentional harmful or offensive contact with another person. Dana shoved Lee in the shoulder during the argument, and Lee stumbled backward. Therefore, Dana is likely liable for battery.</w:t>
      </w:r>
    </w:p>
    <w:p>
      <w:pPr>
        <w:pStyle w:val="Heading1"/>
      </w:pPr>
      <w:r>
        <w:t>3. automatic CRAC</w:t>
      </w:r>
    </w:p>
    <w:p>
      <w:r>
        <w:rPr>
          <w:b/>
        </w:rPr>
        <w:t xml:space="preserve">Expected badge: </w:t>
      </w:r>
      <w:r>
        <w:t>COMPLETE_CRAC</w:t>
      </w:r>
      <w:r>
        <w:rPr>
          <w:b/>
        </w:rPr>
        <w:t xml:space="preserve"> | Expected detected format: </w:t>
      </w:r>
      <w:r>
        <w:t>CRAC</w:t>
      </w:r>
    </w:p>
    <w:p>
      <w:r>
        <w:t>Dana is likely liable for battery. Battery requires an intentional harmful or offensive contact with another person. Dana shoved Lee in the shoulder during the argument, and Lee stumbled backward. Therefore, Dana is likely liable.</w:t>
      </w:r>
    </w:p>
    <w:p>
      <w:pPr>
        <w:pStyle w:val="Heading1"/>
      </w:pPr>
      <w:r>
        <w:t>4. automatic CREAC</w:t>
      </w:r>
    </w:p>
    <w:p>
      <w:r>
        <w:rPr>
          <w:b/>
        </w:rPr>
        <w:t xml:space="preserve">Expected badge: </w:t>
      </w:r>
      <w:r>
        <w:t>COMPLETE_CREAC</w:t>
      </w:r>
      <w:r>
        <w:rPr>
          <w:b/>
        </w:rPr>
        <w:t xml:space="preserve"> | Expected detected format: </w:t>
      </w:r>
      <w:r>
        <w:t>CREAC</w:t>
      </w:r>
    </w:p>
    <w:p>
      <w:r>
        <w:t>The covenant is likely enforceable against Garrison. An equitable servitude binds successors when the covenant touches and concerns land, the parties intend it to run, and the later owner has notice. In Neponsit, the court enforced a covenant because the promise affected property ownership and bound successors with notice. Here, Garrison bought Parcel 14 after the residential-use restriction was recorded in the chain of title. Accordingly, the covenant is likely enforceable against Garrison.</w:t>
      </w:r>
    </w:p>
    <w:p>
      <w:pPr>
        <w:pStyle w:val="Heading1"/>
      </w:pPr>
      <w:r>
        <w:t>5. missing application in rule dump</w:t>
      </w:r>
    </w:p>
    <w:p>
      <w:r>
        <w:rPr>
          <w:b/>
        </w:rPr>
        <w:t xml:space="preserve">Expected badge: </w:t>
      </w:r>
      <w:r>
        <w:t>WARNING_MISSING_APPLICATION</w:t>
      </w:r>
    </w:p>
    <w:p>
      <w:r>
        <w:t>The issue is whether the agreement is enforceable. A valid contract requires offer, acceptance, and consideration. Courts apply the objective theory of assent.</w:t>
      </w:r>
    </w:p>
    <w:p>
      <w:pPr>
        <w:pStyle w:val="Heading1"/>
      </w:pPr>
      <w:r>
        <w:t>6. muddled blend</w:t>
      </w:r>
    </w:p>
    <w:p>
      <w:r>
        <w:rPr>
          <w:b/>
        </w:rPr>
        <w:t xml:space="preserve">Expected badge: </w:t>
      </w:r>
      <w:r>
        <w:t>WARNING_BLEND</w:t>
      </w:r>
    </w:p>
    <w:p>
      <w:r>
        <w:t>The issue is whether Rivera breached the duty of care. A driver must use reasonable care, and here Rivera looked down at a text message for six seconds while entering the intersection. Therefore, Rivera likely breached the duty of care.</w:t>
      </w:r>
    </w:p>
    <w:p>
      <w:pPr>
        <w:pStyle w:val="Heading1"/>
      </w:pPr>
      <w:r>
        <w:t>7. NeueStruktur general jurisdiction application</w:t>
      </w:r>
    </w:p>
    <w:p>
      <w:r>
        <w:rPr>
          <w:b/>
        </w:rPr>
        <w:t xml:space="preserve">Expected badge: </w:t>
      </w:r>
      <w:r>
        <w:t>COMPLETE_IRAC</w:t>
      </w:r>
    </w:p>
    <w:p>
      <w:r>
        <w:t>Whether the Western District of Virginia may exercise general personal jurisdiction over NeueStruktur GmbH, a German corporation, based on its contacts with Virginia. Under Daimler AG v. Bauman, 571 U.S. 117 (2014), and Goodyear Dunlop Tires Operations, S.A. v. Brown, 564 U.S. 915 (2011), a court may exercise general personal jurisdiction over a corporation only where the corporation's affiliations with the forum are so continuous and systematic as to render it 'essentially at home' there. For corporations, the paradigm cases of general jurisdiction are the state of incorporation and the state of principal place of business. Only in an 'exceptional case' would operations in another forum be so substantial as to render the corporation at home there. Even substantial and continuous commercial activity in a forum does not make a corporation 'at home' where it is neither incorporated nor headquartered. NeueStruktur GmbH is incorporated under German law and headquartered in Frankfurt, Germany. It has no offices, employees, agents, or bank accounts in Virginia or anywhere in the United States. Its U.S. subsidiary (NSA) is a separate legal entity with a New York principal place of business; NSA's contacts cannot automatically be imputed to the German parent absent a formal agency finding. Even if NSA's contacts were fully imputed, NSA is at home in Delaware and New York — not Virginia. NeueStruktur's five site visits to Virginia over two years are episodic, not continuous and systematic. Virginia is not among the paradigm forums for NeueStruktur, and no exceptional circumstances exist to support general jurisdiction there. The Western District of Virginia cannot exercise general personal jurisdiction over NeueStruktur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