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IRAC/CREAC Demo Test Document</w:t>
      </w:r>
    </w:p>
    <w:p>
      <w:r>
        <w:t>Use this document to test DOCX upload. The same examples are also provided as paste text and as a text-based PDF. The updated examples exercise the May 2026 training-tool behavior: structure scores, revision priorities, confidence, competing labels, and richer hover/export explanations.</w:t>
      </w:r>
    </w:p>
    <w:p>
      <w:pPr>
        <w:pStyle w:val="Heading2"/>
      </w:pPr>
      <w:r>
        <w:rPr>
          <w:color w:val="1E40AF"/>
        </w:rPr>
        <w:t>1. Complete IRAC with ordinary signposts</w:t>
      </w:r>
    </w:p>
    <w:p>
      <w:r>
        <w:rPr>
          <w:b/>
        </w:rPr>
        <w:t xml:space="preserve">Framework: IRAC. </w:t>
      </w:r>
      <w:r>
        <w:t>Expected: Complete IRAC. Shows ordinary Issue, Rule, Application, Conclusion form.</w:t>
      </w:r>
    </w:p>
    <w:p>
      <w:r>
        <w:t>The issue is whether Mercer committed fraud. To establish fraud, a plaintiff must prove that the defendant made a false representation, knew it was false, intended reliance, and caused damages. Here, Mercer told Okafor that the investment fund returned twelve percent annually, but Mercer knew the fund had posted losses in four of the last ten years. Therefore, Okafor is likely to prevail on the fraud claim.</w:t>
      </w:r>
    </w:p>
    <w:p>
      <w:pPr>
        <w:pStyle w:val="Heading2"/>
      </w:pPr>
      <w:r>
        <w:rPr>
          <w:color w:val="1E40AF"/>
        </w:rPr>
        <w:t>2. Same IRAC with signposts removed</w:t>
      </w:r>
    </w:p>
    <w:p>
      <w:r>
        <w:rPr>
          <w:b/>
        </w:rPr>
        <w:t xml:space="preserve">Framework: IRAC. </w:t>
      </w:r>
      <w:r>
        <w:t>Expected: Complete IRAC. Demonstrates resilience when 'Here,' and 'Therefore,' are omitted.</w:t>
      </w:r>
    </w:p>
    <w:p>
      <w:r>
        <w:t>The issue is whether Mercer committed fraud. To establish fraud, a plaintiff must prove that the defendant made a false representation, knew it was false, intended reliance, and caused damages. Mercer told Okafor that the investment fund returned twelve percent annually, but Mercer knew the fund had posted losses in four of the last ten years. Okafor is likely to prevail on the fraud claim.</w:t>
      </w:r>
    </w:p>
    <w:p>
      <w:pPr>
        <w:pStyle w:val="Heading2"/>
      </w:pPr>
      <w:r>
        <w:rPr>
          <w:color w:val="1E40AF"/>
        </w:rPr>
        <w:t>3. Missing rule</w:t>
      </w:r>
    </w:p>
    <w:p>
      <w:r>
        <w:rPr>
          <w:b/>
        </w:rPr>
        <w:t xml:space="preserve">Framework: IRAC. </w:t>
      </w:r>
      <w:r>
        <w:t>Expected: Missing Rule. The paragraph applies facts and concludes without first stating the governing rule.</w:t>
      </w:r>
    </w:p>
    <w:p>
      <w:r>
        <w:t>The issue is whether Park is liable for battery. Here, Park grabbed Lee's wrist during the argument and would not let go until a security guard intervened. Therefore, Lee is likely to establish battery.</w:t>
      </w:r>
    </w:p>
    <w:p>
      <w:pPr>
        <w:pStyle w:val="Heading2"/>
      </w:pPr>
      <w:r>
        <w:rPr>
          <w:color w:val="1E40AF"/>
        </w:rPr>
        <w:t>4. Missing application</w:t>
      </w:r>
    </w:p>
    <w:p>
      <w:r>
        <w:rPr>
          <w:b/>
        </w:rPr>
        <w:t xml:space="preserve">Framework: IRAC. </w:t>
      </w:r>
      <w:r>
        <w:t>Expected: Missing Application. The paragraph states rules but never connects them to the facts.</w:t>
      </w:r>
    </w:p>
    <w:p>
      <w:r>
        <w:t>The issue is whether the agreement is enforceable. A valid contract requires offer, acceptance, and consideration. Courts assess mutual assent under an objective theory of contracts.</w:t>
      </w:r>
    </w:p>
    <w:p>
      <w:pPr>
        <w:pStyle w:val="Heading2"/>
      </w:pPr>
      <w:r>
        <w:rPr>
          <w:color w:val="1E40AF"/>
        </w:rPr>
        <w:t>5. Application before rule</w:t>
      </w:r>
    </w:p>
    <w:p>
      <w:r>
        <w:rPr>
          <w:b/>
        </w:rPr>
        <w:t xml:space="preserve">Framework: IRAC. </w:t>
      </w:r>
      <w:r>
        <w:t>Expected: Application Before Rule. Useful for showing students why order matters.</w:t>
      </w:r>
    </w:p>
    <w:p>
      <w:r>
        <w:t>Harbor filed its personal jurisdiction objection in an answer after first moving to dismiss on venue grounds. A personal jurisdiction defense is waived if omitted from the first Rule 12 motion. Therefore, Harbor likely waived the defense.</w:t>
      </w:r>
    </w:p>
    <w:p>
      <w:pPr>
        <w:pStyle w:val="Heading2"/>
      </w:pPr>
      <w:r>
        <w:rPr>
          <w:color w:val="1E40AF"/>
        </w:rPr>
        <w:t>6. Rule/Application blend</w:t>
      </w:r>
    </w:p>
    <w:p>
      <w:r>
        <w:rPr>
          <w:b/>
        </w:rPr>
        <w:t xml:space="preserve">Framework: IRAC. </w:t>
      </w:r>
      <w:r>
        <w:t>Expected: Rule/Application Blend. One sentence mixes the abstract standard and the specific facts.</w:t>
      </w:r>
    </w:p>
    <w:p>
      <w:r>
        <w:t>The issue is whether Rivera acted negligently. A driver must use reasonable care, and here Rivera looked down at a text message for six seconds while entering the intersection. Therefore, Rivera likely breached the duty of care.</w:t>
      </w:r>
    </w:p>
    <w:p>
      <w:pPr>
        <w:pStyle w:val="Heading2"/>
      </w:pPr>
      <w:r>
        <w:rPr>
          <w:color w:val="1E40AF"/>
        </w:rPr>
        <w:t>7. Complete CREAC</w:t>
      </w:r>
    </w:p>
    <w:p>
      <w:r>
        <w:rPr>
          <w:b/>
        </w:rPr>
        <w:t xml:space="preserve">Framework: CREAC. </w:t>
      </w:r>
      <w:r>
        <w:t>Expected: Complete CREAC. Shows opening conclusion, rule, explanation, application, closing conclusion.</w:t>
      </w:r>
    </w:p>
    <w:p>
      <w:r>
        <w:t>The restrictive covenant is likely enforceable against Garrison. An equitable servitude binds later owners when the covenant touches and concerns land, the original parties intended it to run, and the later owner had notice. In Neponsit, the court enforced a covenant requiring property owners to pay fees because the promise affected the land and bound successors with notice. In this case, the covenant limits Parcel 14 to residential use, was recorded in the chain of title, and was reviewed by Garrison before purchase. Accordingly, the covenant is likely enforceable against Garrison.</w:t>
      </w:r>
    </w:p>
    <w:p>
      <w:pPr>
        <w:pStyle w:val="Heading2"/>
      </w:pPr>
      <w:r>
        <w:rPr>
          <w:color w:val="1E40AF"/>
        </w:rPr>
        <w:t>8. Citation-heavy application without Here</w:t>
      </w:r>
    </w:p>
    <w:p>
      <w:r>
        <w:rPr>
          <w:b/>
        </w:rPr>
        <w:t xml:space="preserve">Framework: IRAC. </w:t>
      </w:r>
      <w:r>
        <w:t>Expected: Complete IRAC. Demonstrates the new scored-evidence resilience around statutory citations.</w:t>
      </w:r>
    </w:p>
    <w:p>
      <w:r>
        <w:t>The issue is whether transfer was proper. Under 28 U.S.C. § 1404(a), a court may transfer for convenience when venue is proper. The case was transferred under § 1406(a), but the original venue was proper under § 1391. The transfer was improper.</w:t>
      </w:r>
    </w:p>
    <w:p>
      <w:pPr>
        <w:pStyle w:val="Heading2"/>
      </w:pPr>
      <w:r>
        <w:rPr>
          <w:color w:val="1E40AF"/>
        </w:rPr>
        <w:t>9. Ambiguous structure for confidence coaching</w:t>
      </w:r>
    </w:p>
    <w:p>
      <w:r>
        <w:rPr>
          <w:b/>
        </w:rPr>
        <w:t xml:space="preserve">Framework: AUTO. </w:t>
      </w:r>
      <w:r>
        <w:t>Expected: Introductory/Transition with low or medium confidence. Shows that ambiguous sentences are now treated as coaching prompts rather than certain answers.</w:t>
      </w:r>
    </w:p>
    <w:p>
      <w:r>
        <w:t>The court should consider fairness and efficiency.</w:t>
      </w:r>
    </w:p>
    <w:p>
      <w:pPr>
        <w:pStyle w:val="Heading2"/>
      </w:pPr>
      <w:r>
        <w:rPr>
          <w:color w:val="1E40AF"/>
        </w:rPr>
        <w:t>10. Missing rule with revision priorities</w:t>
      </w:r>
    </w:p>
    <w:p>
      <w:r>
        <w:rPr>
          <w:b/>
        </w:rPr>
        <w:t xml:space="preserve">Framework: AUTO. </w:t>
      </w:r>
      <w:r>
        <w:t>Expected: Missing Rule. Shows paragraph-level structure score, revision priorities, and sentence-level next-step hints.</w:t>
      </w:r>
    </w:p>
    <w:p>
      <w:r>
        <w:t>Here, Dana shoved Lee during the argument. Therefore, Dana is likely liable.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