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5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6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ОТЧЕТ ПО ПРАКТИЧЕСКОЙ РАБОТЕ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ПО КУРСУ</w:t>
      </w:r>
    </w:p>
    <w:p w:rsidR="00000000" w:rsidDel="00000000" w:rsidP="00000000" w:rsidRDefault="00000000" w:rsidRPr="00000000" w14:paraId="0000000A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B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«Решение прямой и обратной кинетической задачи для стационарной гетерогенно-каталитической реакции в mech optimiz»</w:t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jc w:val="left"/>
        <w:rPr>
          <w:color w:val="00000a"/>
          <w:highlight w:val="yellow"/>
        </w:rPr>
      </w:pPr>
      <w:r w:rsidDel="00000000" w:rsidR="00000000" w:rsidRPr="00000000">
        <w:rPr>
          <w:color w:val="00000a"/>
          <w:rtl w:val="0"/>
        </w:rPr>
        <w:t xml:space="preserve">Ведущий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Ст. преподаватель                                                     </w:t>
        <w:tab/>
        <w:tab/>
        <w:t xml:space="preserve"> Скичко Е. А.</w:t>
      </w:r>
    </w:p>
    <w:p w:rsidR="00000000" w:rsidDel="00000000" w:rsidP="00000000" w:rsidRDefault="00000000" w:rsidRPr="00000000" w14:paraId="00000013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firstLine="340"/>
        <w:jc w:val="left"/>
        <w:rPr>
          <w:color w:val="00000a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00000a"/>
          <w:rtl w:val="0"/>
        </w:rPr>
        <w:t xml:space="preserve">СТУДЕНТ группы КС-26</w:t>
      </w:r>
      <w:r w:rsidDel="00000000" w:rsidR="00000000" w:rsidRPr="00000000">
        <w:rPr>
          <w:color w:val="00000a"/>
          <w:rtl w:val="0"/>
        </w:rPr>
        <w:tab/>
        <w:tab/>
        <w:tab/>
        <w:t xml:space="preserve">          </w:t>
        <w:tab/>
        <w:tab/>
        <w:tab/>
        <w:t xml:space="preserve">Лупинос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firstLine="340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9">
      <w:pPr>
        <w:spacing w:after="200" w:line="240" w:lineRule="auto"/>
        <w:ind w:firstLine="34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Исследовали окисление CO на металлическом порошковом катализаторе в трубчатом лабораторном реакторе. Конверсию CO при заданной температуре измеряли на выходе из реактора.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Получены следующие данные эксперимента</w:t>
      </w:r>
    </w:p>
    <w:tbl>
      <w:tblPr>
        <w:tblStyle w:val="Table1"/>
        <w:tblW w:w="3667.000000000000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4"/>
        <w:gridCol w:w="1843"/>
        <w:tblGridChange w:id="0">
          <w:tblGrid>
            <w:gridCol w:w="1824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Температура, K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Конверсия CO,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U+20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U+40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U+60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U+70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U+75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U+80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99.9</w:t>
            </w:r>
          </w:p>
        </w:tc>
      </w:tr>
    </w:tbl>
    <w:p w:rsidR="00000000" w:rsidDel="00000000" w:rsidP="00000000" w:rsidRDefault="00000000" w:rsidRPr="00000000" w14:paraId="0000002D">
      <w:pPr>
        <w:spacing w:line="259" w:lineRule="auto"/>
        <w:ind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Порозность катализатора 42%. Средний размер частиц 150 мкм.</w:t>
      </w:r>
    </w:p>
    <w:p w:rsidR="00000000" w:rsidDel="00000000" w:rsidP="00000000" w:rsidRDefault="00000000" w:rsidRPr="00000000" w14:paraId="0000002F">
      <w:pPr>
        <w:spacing w:line="310.79999999999995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Известен механизм окисления – L-H - типа с диссоциативной адсорбцией кислорода:</w:t>
      </w:r>
    </w:p>
    <w:p w:rsidR="00000000" w:rsidDel="00000000" w:rsidP="00000000" w:rsidRDefault="00000000" w:rsidRPr="00000000" w14:paraId="00000030">
      <w:pPr>
        <w:spacing w:line="310.79999999999995" w:lineRule="auto"/>
        <w:ind w:firstLine="0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2(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+ O2 ⇄ 2O(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 k1, k2</w:t>
      </w:r>
    </w:p>
    <w:p w:rsidR="00000000" w:rsidDel="00000000" w:rsidP="00000000" w:rsidRDefault="00000000" w:rsidRPr="00000000" w14:paraId="00000031">
      <w:pPr>
        <w:spacing w:line="310.79999999999995" w:lineRule="auto"/>
        <w:ind w:firstLine="0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+ CO ⇄ CO(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 k3, k4</w:t>
      </w:r>
    </w:p>
    <w:p w:rsidR="00000000" w:rsidDel="00000000" w:rsidP="00000000" w:rsidRDefault="00000000" w:rsidRPr="00000000" w14:paraId="00000032">
      <w:pPr>
        <w:spacing w:line="310.79999999999995" w:lineRule="auto"/>
        <w:ind w:firstLine="0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O(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+ CO(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⇄ CO2(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+ 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 k5, k6</w:t>
      </w:r>
    </w:p>
    <w:p w:rsidR="00000000" w:rsidDel="00000000" w:rsidP="00000000" w:rsidRDefault="00000000" w:rsidRPr="00000000" w14:paraId="00000033">
      <w:pPr>
        <w:spacing w:line="310.79999999999995" w:lineRule="auto"/>
        <w:ind w:firstLine="0"/>
        <w:jc w:val="center"/>
        <w:rPr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+ CO2 ⇄ CO2(</w:t>
      </w:r>
      <m:oMath>
        <m:r>
          <m:t>∗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 k7, k8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0.79999999999995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Необходимо записать модель окисления CO в виде файла .inp. Для стадий адсорбции кинетическая константа должна рассчитываться с использованием коэффициента вероятности адсорбции. Для остальных стадий – через уравнения Аррениуса.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Требуется создать конфигурационный файл mech_optimiz и подобрать в этой программе для стадий 1-8 кинетические параметры в следующих диапазонах.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Построить график конверсии реагента CO (эксперимент –точками, моделирование – линией без точек). Найти среднее значение абсолютной ошибки по конверсии CO.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Если средняя абсолютная ошибка более 10%, то необходимо увеличить диапазон поиска по значениям энергии активации реакций и повторить поиск. Снова выполнить пункт 3.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:rsidR="00000000" w:rsidDel="00000000" w:rsidP="00000000" w:rsidRDefault="00000000" w:rsidRPr="00000000" w14:paraId="0000003A">
      <w:pPr>
        <w:spacing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780"/>
        <w:gridCol w:w="3450"/>
        <w:tblGridChange w:id="0">
          <w:tblGrid>
            <w:gridCol w:w="1650"/>
            <w:gridCol w:w="3780"/>
            <w:gridCol w:w="34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стадии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1/с (или б/р для sticking coefficient)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E, кДж/моль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1e11 1e14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200 400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1e11 1e14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80 140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1e10 1e13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80 160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1e12 1e15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30 180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1e-3 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5e10 1e13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20 150</w:t>
            </w:r>
          </w:p>
        </w:tc>
      </w:tr>
    </w:tbl>
    <w:p w:rsidR="00000000" w:rsidDel="00000000" w:rsidP="00000000" w:rsidRDefault="00000000" w:rsidRPr="00000000" w14:paraId="00000056">
      <w:pPr>
        <w:spacing w:line="310.79999999999995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10.79999999999995" w:lineRule="auto"/>
        <w:ind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  <w:t xml:space="preserve">Плотность активных центров (Surface site density), кмоль/м</w:t>
      </w:r>
      <w:r w:rsidDel="00000000" w:rsidR="00000000" w:rsidRPr="00000000">
        <w:rPr>
          <w:vertAlign w:val="superscript"/>
          <w:rtl w:val="0"/>
        </w:rPr>
        <w:t xml:space="preserve">2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8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1.95e-08</w:t>
            </w:r>
          </w:p>
        </w:tc>
      </w:tr>
    </w:tbl>
    <w:p w:rsidR="00000000" w:rsidDel="00000000" w:rsidP="00000000" w:rsidRDefault="00000000" w:rsidRPr="00000000" w14:paraId="0000005A">
      <w:pPr>
        <w:spacing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10.79999999999995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Данные о реакторе приведены для </w:t>
      </w:r>
      <w:r w:rsidDel="00000000" w:rsidR="00000000" w:rsidRPr="00000000">
        <w:rPr>
          <w:u w:val="single"/>
          <w:rtl w:val="0"/>
        </w:rPr>
        <w:t xml:space="preserve">варианта 32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  <w:tblGridChange w:id="0">
          <w:tblGrid>
            <w:gridCol w:w="988"/>
            <w:gridCol w:w="1134"/>
            <w:gridCol w:w="1378"/>
            <w:gridCol w:w="890"/>
            <w:gridCol w:w="708"/>
            <w:gridCol w:w="709"/>
            <w:gridCol w:w="1134"/>
            <w:gridCol w:w="848"/>
            <w:gridCol w:w="853"/>
            <w:gridCol w:w="85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7cbac" w:val="clear"/>
          </w:tcPr>
          <w:p w:rsidR="00000000" w:rsidDel="00000000" w:rsidP="00000000" w:rsidRDefault="00000000" w:rsidRPr="00000000" w14:paraId="0000005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D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 реактора, мм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E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Диаметр реактора, мм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F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Катализатор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(N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 100%)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3">
            <w:pPr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U, 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subscript"/>
                <w:rtl w:val="0"/>
              </w:rPr>
              <w:t xml:space="preserve">кат</w:t>
            </w:r>
            <w:r w:rsidDel="00000000" w:rsidR="00000000" w:rsidRPr="00000000">
              <w:rPr>
                <w:vertAlign w:val="subscript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, г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5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BET</w:t>
            </w:r>
            <w:r w:rsidDel="00000000" w:rsidR="00000000" w:rsidRPr="00000000">
              <w:rPr>
                <w:rtl w:val="0"/>
              </w:rPr>
              <w:t xml:space="preserve">, м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/г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7cbac" w:val="clea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CO, %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%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расход (STP), мл/мин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70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620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</w:tr>
    </w:tbl>
    <w:p w:rsidR="00000000" w:rsidDel="00000000" w:rsidP="00000000" w:rsidRDefault="00000000" w:rsidRPr="00000000" w14:paraId="0000007A">
      <w:pPr>
        <w:spacing w:line="259" w:lineRule="auto"/>
        <w:ind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ind w:firstLine="0"/>
        <w:jc w:val="center"/>
        <w:rPr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Теоретическое обоснование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Гетерогенный катализ</w:t>
      </w:r>
      <w:r w:rsidDel="00000000" w:rsidR="00000000" w:rsidRPr="00000000">
        <w:rPr>
          <w:rtl w:val="0"/>
        </w:rPr>
        <w:t xml:space="preserve"> — это катализ, в котором фаза катализатора и фаза реагентов или продуктов являются раздельными. Этим процесс отличается от гомогенного катализа, в котором продукты и катализатор находятся в одной фазе.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Стадии протекания гетерогенно-каталитической реакции: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Адсорбция</w:t>
      </w:r>
      <w:r w:rsidDel="00000000" w:rsidR="00000000" w:rsidRPr="00000000">
        <w:rPr>
          <w:rtl w:val="0"/>
        </w:rPr>
        <w:t xml:space="preserve">: Это первая стадия, в которой молекулы реагентов адсорбируются на поверхности катализатора. Во время адсорбции происходит привязка молекул к поверхности с образованием адсорбированного слоя. Этот этап играет ключевую роль, поскольку это место, где происходит начало реакции.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Поверхностная реакция</w:t>
      </w:r>
      <w:r w:rsidDel="00000000" w:rsidR="00000000" w:rsidRPr="00000000">
        <w:rPr>
          <w:rtl w:val="0"/>
        </w:rPr>
        <w:t xml:space="preserve">: После адсорбции происходит химическая реакция между адсорбированными молекулами на поверхности катализатора. Это может включать образование новых химических связей или разрыв существующих. Поверхностная реакция часто является самым медленным этапом гетерогенной реакции.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Десорбция</w:t>
      </w:r>
      <w:r w:rsidDel="00000000" w:rsidR="00000000" w:rsidRPr="00000000">
        <w:rPr>
          <w:rtl w:val="0"/>
        </w:rPr>
        <w:t xml:space="preserve">: После завершения поверхностной реакции продукты реакции могут десорбировать с поверхности катализатора, то есть отвязываться от нее. Это позволяет продуктам покинуть активные центры катализатора и освободить место для новых реагентов. Десорбция завершает цикл гетерогенной реакции.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Гетерогенные катализаторы</w:t>
      </w:r>
      <w:r w:rsidDel="00000000" w:rsidR="00000000" w:rsidRPr="00000000">
        <w:rPr>
          <w:rtl w:val="0"/>
        </w:rPr>
        <w:t xml:space="preserve"> – это обычно твердые вещества, металлы и их оксиды. металлам, широко используемым в катализе относят благородные металлы (Pt, Pd, Rh, и, в меньшей степени – Au, Ru, Ir, Ag), переходные металлы (Ni, Со, Сu, Fe). Реагенты и продукты в гетерогенном катализе обычно находятся в газовой фазе, иногда – в жидкой.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Адсорбция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является важным этапом гетерогенного катализа. Адсорбция – это процесс, посредством которого молекула газовой (или растворенной) фазы (адсорбат) связывается с твердыми (или жидкими) поверхностными атомами (адсорбент). Обратной стороной адсорбции является десорбция, когда адсорбат отщепляется от адсорбента. В реакции, протекающей при гетерогенном катализе, катализатором является адсорбент, а реагентами — адсорбат.</w:t>
      </w:r>
    </w:p>
    <w:p w:rsidR="00000000" w:rsidDel="00000000" w:rsidP="00000000" w:rsidRDefault="00000000" w:rsidRPr="00000000" w14:paraId="00000083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Конверсия (или степень превращения) вещества</w:t>
      </w:r>
      <w:r w:rsidDel="00000000" w:rsidR="00000000" w:rsidRPr="00000000">
        <w:rPr>
          <w:rtl w:val="0"/>
        </w:rPr>
        <w:t xml:space="preserve"> </w:t>
      </w:r>
      <m:oMath>
        <m:r>
          <w:rPr>
            <w:b w:val="1"/>
          </w:rPr>
          <m:t xml:space="preserve">-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его доля, прореагировавшая в ходе реакции, выраженная в процентах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Порозность катализатора</w:t>
      </w:r>
      <w:r w:rsidDel="00000000" w:rsidR="00000000" w:rsidRPr="00000000">
        <w:rPr>
          <w:rtl w:val="0"/>
        </w:rPr>
        <w:t xml:space="preserve"> — это объем зернистого слоя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не занятый частицами, т. е. доля пустоты в общем объеме зернистого слоя. В этом свободном объеме движется парогазовая и парожидкостная реакционная смесь, проходя через слой катализатора. Порозность частиц влияет на сопротивление в слое катализатора. Частицы катализатора обладают внутренними порами, в которых происходит диффузия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сорбирующихся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и реагирующих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компонентов. Большая часть активных центров катализатора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расположена внутри пор.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Механизм реакции</w:t>
      </w:r>
      <w:r w:rsidDel="00000000" w:rsidR="00000000" w:rsidRPr="00000000">
        <w:rPr>
          <w:rtl w:val="0"/>
        </w:rPr>
        <w:t xml:space="preserve"> – детальная последовательность шагов, приводящих к реакции (каталитическому циклу).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Диссоциативная адсорбция кислорода</w:t>
      </w:r>
      <w:r w:rsidDel="00000000" w:rsidR="00000000" w:rsidRPr="00000000">
        <w:rPr>
          <w:rtl w:val="0"/>
        </w:rPr>
        <w:t xml:space="preserve"> — это процесс, при котором молекула кислорода адсорбируется на поверхность катализатора и разлагается на атомы кислорода, которые затем участвуют в химической реакции с другими веществами. Диссоциативная адсорбция означает, что молекула адсорбируется таким образом, что она распадается на отдельные атомы или группы атомов.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данной лабораторной работе необходима константа скорости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которую можно рассчитать по уравнению Аррениуса:</w:t>
      </w:r>
    </w:p>
    <w:p w:rsidR="00000000" w:rsidDel="00000000" w:rsidP="00000000" w:rsidRDefault="00000000" w:rsidRPr="00000000" w14:paraId="0000008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k=A</m:t>
        </m:r>
        <m:r>
          <w:rPr/>
          <m:t>⋅</m:t>
        </m:r>
        <m:r>
          <w:rPr/>
          <m:t xml:space="preserve">exp(</m:t>
        </m:r>
        <m:f>
          <m:fPr>
            <m:ctrlPr>
              <w:rPr/>
            </m:ctrlPr>
          </m:fPr>
          <m:num>
            <m:r>
              <w:rPr/>
              <m:t xml:space="preserve">-E</m:t>
            </m:r>
          </m:num>
          <m:den>
            <m:r>
              <w:rPr/>
              <m:t xml:space="preserve">RT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A-</m:t>
        </m:r>
      </m:oMath>
      <w:r w:rsidDel="00000000" w:rsidR="00000000" w:rsidRPr="00000000">
        <w:rPr>
          <w:rtl w:val="0"/>
        </w:rPr>
        <w:t xml:space="preserve"> предэкспоненциальный множитель, имеет роль стерического (пространственного) фактора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, или числа соударений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; </w:t>
      </w:r>
      <m:oMath>
        <m:r>
          <w:rPr/>
          <m:t xml:space="preserve">E[</m:t>
        </m:r>
        <m:f>
          <m:fPr>
            <m:ctrlPr>
              <w:rPr/>
            </m:ctrlPr>
          </m:fPr>
          <m:num>
            <m:r>
              <w:rPr/>
              <m:t xml:space="preserve">Дж</m:t>
            </m:r>
          </m:num>
          <m:den>
            <m:r>
              <w:rPr/>
              <m:t xml:space="preserve">моль</m:t>
            </m:r>
          </m:den>
        </m:f>
        <m:r>
          <w:rPr/>
          <m:t xml:space="preserve">]-</m:t>
        </m:r>
      </m:oMath>
      <w:r w:rsidDel="00000000" w:rsidR="00000000" w:rsidRPr="00000000">
        <w:rPr>
          <w:rtl w:val="0"/>
        </w:rPr>
        <w:t xml:space="preserve"> энергия активации; </w:t>
      </w:r>
      <m:oMath>
        <m:r>
          <w:rPr/>
          <m:t xml:space="preserve">R[</m:t>
        </m:r>
        <m:f>
          <m:fPr>
            <m:ctrlPr>
              <w:rPr/>
            </m:ctrlPr>
          </m:fPr>
          <m:num>
            <m:r>
              <w:rPr/>
              <m:t xml:space="preserve">Дж</m:t>
            </m:r>
          </m:num>
          <m:den>
            <m:r>
              <w:rPr/>
              <m:t xml:space="preserve">моль </m:t>
            </m:r>
            <m:r>
              <w:rPr/>
              <m:t>⋅</m:t>
            </m:r>
            <m:r>
              <w:rPr/>
              <m:t xml:space="preserve"> К</m:t>
            </m:r>
          </m:den>
        </m:f>
        <m:r>
          <w:rPr/>
          <m:t xml:space="preserve">]-</m:t>
        </m:r>
      </m:oMath>
      <w:r w:rsidDel="00000000" w:rsidR="00000000" w:rsidRPr="00000000">
        <w:rPr>
          <w:rtl w:val="0"/>
        </w:rPr>
        <w:t xml:space="preserve"> универсальная газовая постоянная, равная 8,314; </w:t>
      </w:r>
      <m:oMath>
        <m:r>
          <w:rPr/>
          <m:t xml:space="preserve">T[К]-</m:t>
        </m:r>
      </m:oMath>
      <w:r w:rsidDel="00000000" w:rsidR="00000000" w:rsidRPr="00000000">
        <w:rPr>
          <w:rtl w:val="0"/>
        </w:rPr>
        <w:t xml:space="preserve"> температура.</w:t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В первоначальной (простейшей) форме уравнения предэкспоненциальный множитель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и энергия активации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считаются не зависящими от температуры. На самом деле, оба параметра имеют слабую температурную зависимость.</w:t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Поэтому в лабораторной работе используется модифицированное уравнение Аррениуса, которое которое учитывает температурную зависимость предэкспоненциального множителя 𝐴 и энергии активации 𝐸:</w:t>
      </w:r>
    </w:p>
    <w:p w:rsidR="00000000" w:rsidDel="00000000" w:rsidP="00000000" w:rsidRDefault="00000000" w:rsidRPr="00000000" w14:paraId="0000008C">
      <w:pPr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r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</m:t>
            </m:r>
          </m:sub>
        </m:sSub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>β</m:t>
                </m:r>
              </m:e>
              <m:sub>
                <m:r>
                  <w:rPr/>
                  <m:t xml:space="preserve">r</m:t>
                </m:r>
              </m:sub>
            </m:sSub>
          </m:sup>
        </m:sSup>
        <m:r>
          <w:rPr/>
          <m:t>⋅</m:t>
        </m:r>
        <m:r>
          <w:rPr/>
          <m:t xml:space="preserve">exp(-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r</m:t>
                </m:r>
              </m:sub>
            </m:sSub>
          </m:num>
          <m:den>
            <m:r>
              <w:rPr/>
              <m:t xml:space="preserve">R </m:t>
            </m:r>
            <m:r>
              <w:rPr/>
              <m:t>⋅</m:t>
            </m:r>
            <m:r>
              <w:rPr/>
              <m:t xml:space="preserve"> T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8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где β - коэффициент, учитывающий температурную зависимость стерического фактора.</w:t>
      </w:r>
    </w:p>
    <w:p w:rsidR="00000000" w:rsidDel="00000000" w:rsidP="00000000" w:rsidRDefault="00000000" w:rsidRPr="00000000" w14:paraId="0000008E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Это позволяет более точно описать скорость химической реакции в широком диапазоне температур и более точно предсказать ее поведение в различных условиях.</w:t>
      </w:r>
    </w:p>
    <w:p w:rsidR="00000000" w:rsidDel="00000000" w:rsidP="00000000" w:rsidRDefault="00000000" w:rsidRPr="00000000" w14:paraId="0000008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В случае адсорбции вместо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 стоит </w:t>
      </w:r>
      <m:oMath>
        <m:sSub>
          <m:sSubPr>
            <m:ctrlPr>
              <w:rPr/>
            </m:ctrlPr>
          </m:sSubPr>
          <m:e>
            <m:r>
              <w:rPr/>
              <m:t xml:space="preserve">γ</m:t>
            </m:r>
          </m:e>
          <m:sub>
            <m:r>
              <w:rPr/>
              <m:t xml:space="preserve">0, r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коэффициент вероятности адсорбции (sticking coefficient), показывающий, какая доля молекул адсорбируется при соударении с полностью незанятой поверхностью.</w:t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Способы нахождения кинетических параметров реакций: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Экспериментальное нахождение кинетических параметров (например, для адсорбции CO на платине: температурно-программируемая десорбция, которая позволяет оценить энергию связи вещества с поверхностью).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Подбор/оценка параметров (подбор параметров осуществляют так, чтобы данные моделирования совпали с данными экспериментов (обычно по конверсии реагентов)).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Определение кинетических параметров на основе </w:t>
      </w:r>
      <w:r w:rsidDel="00000000" w:rsidR="00000000" w:rsidRPr="00000000">
        <w:rPr>
          <w:rtl w:val="0"/>
        </w:rPr>
        <w:t xml:space="preserve">квантовохимического</w:t>
      </w:r>
      <w:r w:rsidDel="00000000" w:rsidR="00000000" w:rsidRPr="00000000">
        <w:rPr>
          <w:rtl w:val="0"/>
        </w:rPr>
        <w:t xml:space="preserve"> моделирования.</w:t>
      </w:r>
    </w:p>
    <w:p w:rsidR="00000000" w:rsidDel="00000000" w:rsidP="00000000" w:rsidRDefault="00000000" w:rsidRPr="00000000" w14:paraId="00000094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В данной лабораторной работе кинетические параметры реакций ищут с помощью способа №2. </w:t>
      </w:r>
    </w:p>
    <w:p w:rsidR="00000000" w:rsidDel="00000000" w:rsidP="00000000" w:rsidRDefault="00000000" w:rsidRPr="00000000" w14:paraId="00000095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Mech </w:t>
      </w:r>
      <w:r w:rsidDel="00000000" w:rsidR="00000000" w:rsidRPr="00000000">
        <w:rPr>
          <w:b w:val="1"/>
          <w:rtl w:val="0"/>
        </w:rPr>
        <w:t xml:space="preserve">optimiz</w:t>
      </w:r>
      <w:r w:rsidDel="00000000" w:rsidR="00000000" w:rsidRPr="00000000">
        <w:rPr>
          <w:rtl w:val="0"/>
        </w:rPr>
        <w:t xml:space="preserve"> - программный комплекс для подбора недостающих параметров в </w:t>
      </w:r>
      <w:r w:rsidDel="00000000" w:rsidR="00000000" w:rsidRPr="00000000">
        <w:rPr>
          <w:rtl w:val="0"/>
        </w:rPr>
        <w:t xml:space="preserve">микрокинетических</w:t>
      </w:r>
      <w:r w:rsidDel="00000000" w:rsidR="00000000" w:rsidRPr="00000000">
        <w:rPr>
          <w:rtl w:val="0"/>
        </w:rPr>
        <w:t xml:space="preserve"> моделях каталитических реакций и анализа полученных моделей.</w:t>
      </w:r>
    </w:p>
    <w:p w:rsidR="00000000" w:rsidDel="00000000" w:rsidP="00000000" w:rsidRDefault="00000000" w:rsidRPr="00000000" w14:paraId="00000096">
      <w:pPr>
        <w:ind w:left="0"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</w:t>
      </w:r>
      <w:r w:rsidDel="00000000" w:rsidR="00000000" w:rsidRPr="00000000">
        <w:rPr>
          <w:b w:val="1"/>
          <w:sz w:val="32"/>
          <w:szCs w:val="32"/>
          <w:rtl w:val="0"/>
        </w:rPr>
        <w:t xml:space="preserve">од работы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  <w:t xml:space="preserve">Файл mech.inp: </w:t>
      </w:r>
    </w:p>
    <w:p w:rsidR="00000000" w:rsidDel="00000000" w:rsidP="00000000" w:rsidRDefault="00000000" w:rsidRPr="00000000" w14:paraId="00000098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7108" cy="49698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108" cy="4969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Файл gas.dat:</w:t>
      </w:r>
    </w:p>
    <w:p w:rsidR="00000000" w:rsidDel="00000000" w:rsidP="00000000" w:rsidRDefault="00000000" w:rsidRPr="00000000" w14:paraId="0000009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1615" cy="577591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615" cy="5775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Файл mech.dat:</w:t>
      </w:r>
    </w:p>
    <w:p w:rsidR="00000000" w:rsidDel="00000000" w:rsidP="00000000" w:rsidRDefault="00000000" w:rsidRPr="00000000" w14:paraId="0000009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1203" cy="203978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203" cy="203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Файл thermo.dat:</w:t>
      </w:r>
    </w:p>
    <w:p w:rsidR="00000000" w:rsidDel="00000000" w:rsidP="00000000" w:rsidRDefault="00000000" w:rsidRPr="00000000" w14:paraId="0000009E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31465" cy="447575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465" cy="447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Файл mech-tc.txt:</w:t>
      </w:r>
    </w:p>
    <w:p w:rsidR="00000000" w:rsidDel="00000000" w:rsidP="00000000" w:rsidRDefault="00000000" w:rsidRPr="00000000" w14:paraId="000000A0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143000" cy="122775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308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2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Далее необходимо создать конфигурационный файл config.txt. Для этого с помощью таблицы Excel нужно найти скорость газа (массовый расход) и количество активных центров катализатора в единице объема реактора.</w:t>
      </w:r>
    </w:p>
    <w:p w:rsidR="00000000" w:rsidDel="00000000" w:rsidP="00000000" w:rsidRDefault="00000000" w:rsidRPr="00000000" w14:paraId="000000A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4003" cy="32563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003" cy="325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4925" cy="48863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В итоге, подставив найденные значения в файл, config.txt имеет следующий вид:</w:t>
      </w:r>
    </w:p>
    <w:p w:rsidR="00000000" w:rsidDel="00000000" w:rsidP="00000000" w:rsidRDefault="00000000" w:rsidRPr="00000000" w14:paraId="000000A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9865" cy="364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Далее запускается программа mech_optimiz, и в результате работы программы в файл criteria.txt выводится подбор лучших результатов:</w:t>
      </w:r>
    </w:p>
    <w:p w:rsidR="00000000" w:rsidDel="00000000" w:rsidP="00000000" w:rsidRDefault="00000000" w:rsidRPr="00000000" w14:paraId="000000A7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iteration 1</w:t>
      </w:r>
    </w:p>
    <w:p w:rsidR="00000000" w:rsidDel="00000000" w:rsidP="00000000" w:rsidRDefault="00000000" w:rsidRPr="00000000" w14:paraId="000000A8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377.43  td_part = 6.85834e-09  entr_prod_react = 0.0139551  -entr_change_external = 0.0138664  entr_part_total = 25.0895 all_converged = true fitness = 377.43</w:t>
      </w:r>
    </w:p>
    <w:p w:rsidR="00000000" w:rsidDel="00000000" w:rsidP="00000000" w:rsidRDefault="00000000" w:rsidRPr="00000000" w14:paraId="000000A9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iteration 3</w:t>
      </w:r>
    </w:p>
    <w:p w:rsidR="00000000" w:rsidDel="00000000" w:rsidP="00000000" w:rsidRDefault="00000000" w:rsidRPr="00000000" w14:paraId="000000AA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168.974  td_part = 7.04981e-11  entr_prod_react = 0.00893044  -entr_change_external = 0.00889398  entr_part_total = 7.82011 all_converged = true fitness = 168.974</w:t>
      </w:r>
    </w:p>
    <w:p w:rsidR="00000000" w:rsidDel="00000000" w:rsidP="00000000" w:rsidRDefault="00000000" w:rsidRPr="00000000" w14:paraId="000000A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iteration 4</w:t>
      </w:r>
    </w:p>
    <w:p w:rsidR="00000000" w:rsidDel="00000000" w:rsidP="00000000" w:rsidRDefault="00000000" w:rsidRPr="00000000" w14:paraId="000000AC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163.467  td_part = 6.85779e-09  entr_prod_react = 0.00898063  -entr_change_external = 0.00894589  entr_part_total = 6.34239 all_converged = true fitness = 163.467</w:t>
      </w:r>
    </w:p>
    <w:p w:rsidR="00000000" w:rsidDel="00000000" w:rsidP="00000000" w:rsidRDefault="00000000" w:rsidRPr="00000000" w14:paraId="000000AD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iteration 5</w:t>
      </w:r>
    </w:p>
    <w:p w:rsidR="00000000" w:rsidDel="00000000" w:rsidP="00000000" w:rsidRDefault="00000000" w:rsidRPr="00000000" w14:paraId="000000AE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41.9224  td_part = 7.04208e-11  entr_prod_react = 0.0107947  -entr_change_external = 0.0107406  entr_part_total = 12.3169 all_converged = true fitness = 41.9224</w:t>
      </w:r>
    </w:p>
    <w:p w:rsidR="00000000" w:rsidDel="00000000" w:rsidP="00000000" w:rsidRDefault="00000000" w:rsidRPr="00000000" w14:paraId="000000AF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iteration 6</w:t>
      </w:r>
    </w:p>
    <w:p w:rsidR="00000000" w:rsidDel="00000000" w:rsidP="00000000" w:rsidRDefault="00000000" w:rsidRPr="00000000" w14:paraId="000000B0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26.9879  td_part = 1.69935e-09  entr_prod_react = 0.0115991  -entr_change_external = 0.0115356  entr_part_total = 16.3234 all_converged = true fitness = 26.9879</w:t>
      </w:r>
    </w:p>
    <w:p w:rsidR="00000000" w:rsidDel="00000000" w:rsidP="00000000" w:rsidRDefault="00000000" w:rsidRPr="00000000" w14:paraId="000000B1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iteration 7</w:t>
      </w:r>
    </w:p>
    <w:p w:rsidR="00000000" w:rsidDel="00000000" w:rsidP="00000000" w:rsidRDefault="00000000" w:rsidRPr="00000000" w14:paraId="000000B2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24.9798  td_part = 6.85785e-09  entr_prod_react = 0.0115158  -entr_change_external = 0.0114552  entr_part_total = 14.9976 all_converged = true fitness = 24.9798</w:t>
      </w:r>
    </w:p>
    <w:p w:rsidR="00000000" w:rsidDel="00000000" w:rsidP="00000000" w:rsidRDefault="00000000" w:rsidRPr="00000000" w14:paraId="000000B3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iteration 15</w:t>
      </w:r>
    </w:p>
    <w:p w:rsidR="00000000" w:rsidDel="00000000" w:rsidP="00000000" w:rsidRDefault="00000000" w:rsidRPr="00000000" w14:paraId="000000B4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24.5571  td_part = 1.66086e-11  entr_prod_react = 0.011413  -entr_change_external = 0.0113464  entr_part_total = 18.0512 all_converged = true fitness = 24.5571</w:t>
      </w:r>
    </w:p>
    <w:p w:rsidR="00000000" w:rsidDel="00000000" w:rsidP="00000000" w:rsidRDefault="00000000" w:rsidRPr="00000000" w14:paraId="000000B5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iteration 34</w:t>
      </w:r>
    </w:p>
    <w:p w:rsidR="00000000" w:rsidDel="00000000" w:rsidP="00000000" w:rsidRDefault="00000000" w:rsidRPr="00000000" w14:paraId="000000B6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sum residuals = 22.4429  td_part = 1.65113e-11  entr_prod_react = 0.011459  -entr_change_external = 0.0113962  entr_part_total = 16.3153 all_converged = true fitness = 22.4429</w:t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  <w:tab/>
        <w:t xml:space="preserve">На основе данных этого файла, можно понять, что самое меньшее суммарное отклонение найдено на 34 итерации, следовательно, для построения диаграммы конверсии CO следует брать значения из файла 34-best-31conv-34-31.csv: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28875" cy="1809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  <w:tab/>
        <w:t xml:space="preserve">На основе этих значений и экспериментальных значений строится таблица и диаграмма конверсии CO в Excel, а также рассчитывается среднее значение абсолютной ошибки:</w:t>
      </w:r>
    </w:p>
    <w:p w:rsidR="00000000" w:rsidDel="00000000" w:rsidP="00000000" w:rsidRDefault="00000000" w:rsidRPr="00000000" w14:paraId="000000B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1697" cy="469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1949" r="6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697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В ходе лабораторной работы для реакции окисления CO на металлическом катализаторе выполнен подбор следующих кинетических параметров: </w:t>
      </w:r>
      <m:oMath>
        <m:r>
          <w:rPr/>
          <m:t xml:space="preserve">A-</m:t>
        </m:r>
      </m:oMath>
      <w:r w:rsidDel="00000000" w:rsidR="00000000" w:rsidRPr="00000000">
        <w:rPr>
          <w:rtl w:val="0"/>
        </w:rPr>
        <w:t xml:space="preserve"> предэкспоненциальный множитель и </w:t>
      </w:r>
      <m:oMath>
        <m:r>
          <w:rPr/>
          <m:t xml:space="preserve">E-</m:t>
        </m:r>
      </m:oMath>
      <w:r w:rsidDel="00000000" w:rsidR="00000000" w:rsidRPr="00000000">
        <w:rPr>
          <w:rtl w:val="0"/>
        </w:rPr>
        <w:t xml:space="preserve"> энергия активации для расчета.</w:t>
      </w:r>
    </w:p>
    <w:p w:rsidR="00000000" w:rsidDel="00000000" w:rsidP="00000000" w:rsidRDefault="00000000" w:rsidRPr="00000000" w14:paraId="000000BD">
      <w:pPr>
        <w:spacing w:line="259" w:lineRule="auto"/>
        <w:ind w:firstLine="72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Значение средней абсолютной ошибки по конверсии CO получилось равным 3,48%.</w:t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567" w:top="851" w:left="1134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Адсорбция</w:t>
      </w:r>
      <w:r w:rsidDel="00000000" w:rsidR="00000000" w:rsidRPr="00000000">
        <w:rPr>
          <w:sz w:val="20"/>
          <w:szCs w:val="20"/>
          <w:rtl w:val="0"/>
        </w:rPr>
        <w:t xml:space="preserve"> (лат. ad — на, при, в; sorbeo — поглощаю) — самопроизвольный процесс увеличения концентрации растворенного вещества у поверхности раздела двух фаз (твердая фаза — жидкость, конденсированная фаза — газ) вследствие нескомпенсированности сил межмолекулярного взаимодействия на разделе фаз.</w:t>
      </w:r>
    </w:p>
  </w:footnote>
  <w:footnote w:id="1">
    <w:p w:rsidR="00000000" w:rsidDel="00000000" w:rsidP="00000000" w:rsidRDefault="00000000" w:rsidRPr="00000000" w14:paraId="000000C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Зернистый слой</w:t>
      </w:r>
      <w:r w:rsidDel="00000000" w:rsidR="00000000" w:rsidRPr="00000000">
        <w:rPr>
          <w:sz w:val="20"/>
          <w:szCs w:val="20"/>
          <w:rtl w:val="0"/>
        </w:rPr>
        <w:t xml:space="preserve"> - это слой катализатора, состоящий из частиц, обычно имеющих определенный размер или форму.</w:t>
      </w:r>
    </w:p>
  </w:footnote>
  <w:footnote w:id="2">
    <w:p w:rsidR="00000000" w:rsidDel="00000000" w:rsidP="00000000" w:rsidRDefault="00000000" w:rsidRPr="00000000" w14:paraId="000000C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Диффузия</w:t>
      </w:r>
      <w:r w:rsidDel="00000000" w:rsidR="00000000" w:rsidRPr="00000000">
        <w:rPr>
          <w:sz w:val="20"/>
          <w:szCs w:val="20"/>
          <w:rtl w:val="0"/>
        </w:rPr>
        <w:t xml:space="preserve"> - это процесс перемещения молекул или атомов из области с более высокой концентрацией в область с более низкой концентрацией.</w:t>
      </w:r>
    </w:p>
  </w:footnote>
  <w:footnote w:id="3">
    <w:p w:rsidR="00000000" w:rsidDel="00000000" w:rsidP="00000000" w:rsidRDefault="00000000" w:rsidRPr="00000000" w14:paraId="000000C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Термин относится к веществам, которые могут быть адсорбированы на поверхности катализатора или в его порах в ходе химической реакции. </w:t>
      </w:r>
      <w:r w:rsidDel="00000000" w:rsidR="00000000" w:rsidRPr="00000000">
        <w:rPr>
          <w:sz w:val="20"/>
          <w:szCs w:val="20"/>
          <w:rtl w:val="0"/>
        </w:rPr>
        <w:t xml:space="preserve">Сорбирующиеся</w:t>
      </w:r>
      <w:r w:rsidDel="00000000" w:rsidR="00000000" w:rsidRPr="00000000">
        <w:rPr>
          <w:sz w:val="20"/>
          <w:szCs w:val="20"/>
          <w:rtl w:val="0"/>
        </w:rPr>
        <w:t xml:space="preserve"> компоненты могут быть реагентами, промежуточными продуктами или продуктами реакции, которые временно связываются с поверхностью катализатора в процессе реакции.</w:t>
      </w:r>
    </w:p>
  </w:footnote>
  <w:footnote w:id="4">
    <w:p w:rsidR="00000000" w:rsidDel="00000000" w:rsidP="00000000" w:rsidRDefault="00000000" w:rsidRPr="00000000" w14:paraId="000000C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Термин применяется к веществам, которые участвуют в химической реакции. Реагирующие компоненты в контексте катализатора взаимодействуют между собой на поверхности катализатора, образуя новые химические соединения или продукты реакции.</w:t>
      </w:r>
    </w:p>
  </w:footnote>
  <w:footnote w:id="5">
    <w:p w:rsidR="00000000" w:rsidDel="00000000" w:rsidP="00000000" w:rsidRDefault="00000000" w:rsidRPr="00000000" w14:paraId="000000C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Активные центры катализатора</w:t>
      </w:r>
      <w:r w:rsidDel="00000000" w:rsidR="00000000" w:rsidRPr="00000000">
        <w:rPr>
          <w:sz w:val="20"/>
          <w:szCs w:val="20"/>
          <w:rtl w:val="0"/>
        </w:rPr>
        <w:t xml:space="preserve"> - это места, где происходят </w:t>
      </w:r>
      <w:r w:rsidDel="00000000" w:rsidR="00000000" w:rsidRPr="00000000">
        <w:rPr>
          <w:sz w:val="20"/>
          <w:szCs w:val="20"/>
          <w:rtl w:val="0"/>
        </w:rPr>
        <w:t xml:space="preserve">катализируемые</w:t>
      </w:r>
      <w:r w:rsidDel="00000000" w:rsidR="00000000" w:rsidRPr="00000000">
        <w:rPr>
          <w:sz w:val="20"/>
          <w:szCs w:val="20"/>
          <w:rtl w:val="0"/>
        </w:rPr>
        <w:t xml:space="preserve"> химические реакции.</w:t>
      </w:r>
    </w:p>
  </w:footnote>
  <w:footnote w:id="6">
    <w:p w:rsidR="00000000" w:rsidDel="00000000" w:rsidP="00000000" w:rsidRDefault="00000000" w:rsidRPr="00000000" w14:paraId="000000C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Кинетическая константа</w:t>
      </w:r>
      <w:r w:rsidDel="00000000" w:rsidR="00000000" w:rsidRPr="00000000">
        <w:rPr>
          <w:sz w:val="20"/>
          <w:szCs w:val="20"/>
          <w:rtl w:val="0"/>
        </w:rPr>
        <w:t xml:space="preserve"> - это параметр, который определяет скорость химической реакции в рамках уравнения скорости реакции. Она характеризует скорость протекания химической реакции и выражает зависимость скорости реакции от концентраций реагентов.</w:t>
      </w:r>
    </w:p>
  </w:footnote>
  <w:footnote w:id="7">
    <w:p w:rsidR="00000000" w:rsidDel="00000000" w:rsidP="00000000" w:rsidRDefault="00000000" w:rsidRPr="00000000" w14:paraId="000000C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Стерический фактор</w:t>
      </w:r>
      <w:r w:rsidDel="00000000" w:rsidR="00000000" w:rsidRPr="00000000">
        <w:rPr>
          <w:sz w:val="20"/>
          <w:szCs w:val="20"/>
          <w:rtl w:val="0"/>
        </w:rPr>
        <w:t xml:space="preserve"> - это параметр, который учитывает влияние пространственной ориентации молекул реагентов на вероятность их взаимодействия и, следовательно, скорость химической реакции.</w:t>
      </w:r>
    </w:p>
  </w:footnote>
  <w:footnote w:id="8">
    <w:p w:rsidR="00000000" w:rsidDel="00000000" w:rsidP="00000000" w:rsidRDefault="00000000" w:rsidRPr="00000000" w14:paraId="000000C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Число соударений</w:t>
      </w:r>
      <w:r w:rsidDel="00000000" w:rsidR="00000000" w:rsidRPr="00000000">
        <w:rPr>
          <w:sz w:val="20"/>
          <w:szCs w:val="20"/>
          <w:rtl w:val="0"/>
        </w:rPr>
        <w:t xml:space="preserve"> - это количество столкновений молекул реагентов в единицу времени. Не все столкновения приводят к химической реакции - только те, которые происходят с определенной минимальной энергией, называемой активационной энергией.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