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enderCoverSub"/>
        <w:rPr/>
      </w:pPr>
      <w:r>
        <w:t xml:space="preserve">　</w:t>
      </w:r>
    </w:p>
    <w:p>
      <w:pPr>
        <w:pStyle w:val="TenderCoverSub"/>
        <w:rPr/>
      </w:pPr>
      <w:r>
        <w:t xml:space="preserve">　</w:t>
      </w:r>
    </w:p>
    <w:p>
      <w:pPr>
        <w:pStyle w:val="TenderCoverSub"/>
        <w:rPr/>
      </w:pPr>
      <w:r>
        <w:t xml:space="preserve">　</w:t>
      </w:r>
    </w:p>
    <w:p>
      <w:pPr>
        <w:pStyle w:val="TenderCoverSub"/>
        <w:rPr/>
      </w:pPr>
      <w:r>
        <w:t xml:space="preserve">　</w:t>
      </w:r>
    </w:p>
    <w:p>
      <w:pPr>
        <w:pStyle w:val="TenderCover"/>
        <w:rPr/>
      </w:pPr>
      <w:r>
        <w:t xml:space="preserve">正本</w:t>
      </w:r>
    </w:p>
    <w:p>
      <w:pPr>
        <w:pStyle w:val="TenderCoverSub"/>
        <w:rPr/>
      </w:pPr>
      <w:r>
        <w:t xml:space="preserve">　</w:t>
      </w:r>
    </w:p>
    <w:p>
      <w:pPr>
        <w:pStyle w:val="TenderCover"/>
        <w:rPr/>
      </w:pPr>
      <w:r>
        <w:t xml:space="preserve">投 标 文 件</w:t>
      </w:r>
    </w:p>
    <w:p>
      <w:pPr>
        <w:pStyle w:val="TenderCoverSub"/>
        <w:rPr/>
      </w:pPr>
      <w:r>
        <w:t xml:space="preserve">　</w:t>
      </w:r>
    </w:p>
    <w:p>
      <w:pPr>
        <w:pStyle w:val="TenderCoverSub"/>
        <w:rPr/>
      </w:pPr>
      <w:r>
        <w:t xml:space="preserve">　</w:t>
      </w:r>
    </w:p>
    <w:p>
      <w:pPr>
        <w:pStyle w:val="TenderCoverSub"/>
        <w:rPr/>
      </w:pPr>
      <w:r>
        <w:t xml:space="preserve">　</w:t>
      </w:r>
    </w:p>
    <w:p>
      <w:pPr>
        <w:pStyle w:val="TenderCoverSub"/>
        <w:rPr/>
      </w:pPr>
      <w:r>
        <w:t xml:space="preserve">　</w:t>
      </w:r>
    </w:p>
    <w:p>
      <w:pPr>
        <w:pStyle w:val="TenderCoverSub"/>
        <w:rPr/>
      </w:pPr>
      <w:r>
        <w:t xml:space="preserve">项目名称：赣州银行2026年度外部数据供应商入围采购项目</w:t>
      </w:r>
    </w:p>
    <w:p>
      <w:pPr>
        <w:pStyle w:val="TenderCoverSub"/>
        <w:rPr/>
      </w:pPr>
      <w:r>
        <w:t xml:space="preserve">　</w:t>
      </w:r>
    </w:p>
    <w:p>
      <w:pPr>
        <w:pStyle w:val="TenderCoverSub"/>
        <w:rPr/>
      </w:pPr>
      <w:r>
        <w:t xml:space="preserve">招标编号：JXYJ2026-GZYH-G005-1</w:t>
      </w:r>
    </w:p>
    <w:p>
      <w:pPr>
        <w:pStyle w:val="TenderCoverSub"/>
        <w:rPr/>
      </w:pPr>
      <w:r>
        <w:t xml:space="preserve">　</w:t>
      </w:r>
    </w:p>
    <w:p>
      <w:pPr>
        <w:pStyle w:val="TenderCoverSub"/>
        <w:rPr/>
      </w:pPr>
      <w:r>
        <w:t xml:space="preserve">标段：标段三：行业产业链、资讯与研究分析、ESG与绿色金融数据</w:t>
      </w:r>
    </w:p>
    <w:p>
      <w:pPr>
        <w:pStyle w:val="TenderCoverSub"/>
        <w:rPr/>
      </w:pPr>
      <w:r>
        <w:t xml:space="preserve">　</w:t>
      </w:r>
    </w:p>
    <w:p>
      <w:pPr>
        <w:pStyle w:val="TenderCoverSub"/>
        <w:rPr/>
      </w:pPr>
      <w:r>
        <w:t xml:space="preserve">　</w:t>
      </w:r>
    </w:p>
    <w:p>
      <w:pPr>
        <w:pStyle w:val="TenderCoverSub"/>
        <w:rPr/>
      </w:pPr>
      <w:r>
        <w:t xml:space="preserve">投标供应商名称（公章或自然人印鉴章）：杭州研数科技有限公司（验收演示）</w:t>
      </w:r>
    </w:p>
    <w:p>
      <w:pPr>
        <w:pStyle w:val="TenderCoverSub"/>
        <w:rPr/>
      </w:pPr>
      <w:r>
        <w:t xml:space="preserve">　</w:t>
      </w:r>
    </w:p>
    <w:p>
      <w:pPr>
        <w:pStyle w:val="TenderCoverSub"/>
        <w:rPr/>
      </w:pPr>
      <w:r>
        <w:t xml:space="preserve">2026年8月19日</w:t>
      </w:r>
    </w:p>
    <w:p>
      <w:pPr>
        <w:spacing w:after="240"/>
        <w:jc w:val="center"/>
      </w:pPr>
      <w:r>
        <w:rPr>
          <w:b/>
          <w:sz w:val="32"/>
        </w:rPr>
        <w:t>目录</w:t>
      </w:r>
    </w:p>
    <w:p>
      <w:pPr>
        <w:ind w:left="0"/>
      </w:pPr>
      <w:r>
        <w:fldChar w:fldCharType="begin"/>
      </w:r>
      <w:r>
        <w:instrText xml:space="preserve"> TOC \o "1-3" \h \z \u </w:instrText>
      </w:r>
      <w:r>
        <w:fldChar w:fldCharType="separate"/>
      </w:r>
      <w:r>
        <w:t>1 投标函</w:t>
      </w:r>
    </w:p>
    <w:p>
      <w:pPr>
        <w:ind w:left="0"/>
      </w:pPr>
      <w:r>
        <w:t>2 投标文件资料清单</w:t>
      </w:r>
    </w:p>
    <w:p>
      <w:pPr>
        <w:ind w:left="0"/>
      </w:pPr>
      <w:r>
        <w:t>3 投标供应商关于响应合同签订价规则的声明函</w:t>
      </w:r>
    </w:p>
    <w:p>
      <w:pPr>
        <w:ind w:left="0"/>
      </w:pPr>
      <w:r>
        <w:t>4 技术规格响应/偏离表</w:t>
      </w:r>
    </w:p>
    <w:p>
      <w:pPr>
        <w:ind w:left="0"/>
      </w:pPr>
      <w:r>
        <w:t>5 商务条款响应/偏离表</w:t>
      </w:r>
    </w:p>
    <w:p>
      <w:pPr>
        <w:ind w:left="0"/>
      </w:pPr>
      <w:r>
        <w:t>6 技术文件</w:t>
      </w:r>
    </w:p>
    <w:p>
      <w:pPr>
        <w:ind w:left="420"/>
      </w:pPr>
      <w:r>
        <w:t>6.1 外部数据采购实施案例清单（格式6-1）</w:t>
      </w:r>
    </w:p>
    <w:p>
      <w:pPr>
        <w:ind w:left="420"/>
      </w:pPr>
      <w:r>
        <w:t>6.2 项目整体技术实施方案</w:t>
      </w:r>
    </w:p>
    <w:p>
      <w:pPr>
        <w:ind w:left="420"/>
      </w:pPr>
      <w:r>
        <w:t>6.3 技术架构方案</w:t>
      </w:r>
    </w:p>
    <w:p>
      <w:pPr>
        <w:ind w:left="420"/>
      </w:pPr>
      <w:r>
        <w:t>6.4 数据安全与数据质量及连续性保障方案</w:t>
      </w:r>
    </w:p>
    <w:p>
      <w:pPr>
        <w:ind w:left="420"/>
      </w:pPr>
      <w:r>
        <w:t>6.5 数据更新承诺函（格式6-2）</w:t>
      </w:r>
    </w:p>
    <w:p>
      <w:pPr>
        <w:ind w:left="420"/>
      </w:pPr>
      <w:r>
        <w:t>6.6 数据问题处置时效承诺函（格式6-3）</w:t>
      </w:r>
    </w:p>
    <w:p>
      <w:pPr>
        <w:ind w:left="420"/>
      </w:pPr>
      <w:r>
        <w:t>6.7 数据服务响应时效承诺函（格式6-4）</w:t>
      </w:r>
    </w:p>
    <w:p>
      <w:pPr>
        <w:ind w:left="420"/>
      </w:pPr>
      <w:r>
        <w:t>6.8 服务团队清单（格式6-5）</w:t>
      </w:r>
    </w:p>
    <w:p>
      <w:pPr>
        <w:ind w:left="420"/>
      </w:pPr>
      <w:r>
        <w:t>6.9 数据质量监控与增值服务承诺</w:t>
      </w:r>
    </w:p>
    <w:p>
      <w:pPr>
        <w:ind w:left="420"/>
      </w:pPr>
      <w:r>
        <w:t>6.10 合规承诺函（格式6-6）</w:t>
      </w:r>
    </w:p>
    <w:p>
      <w:pPr>
        <w:ind w:left="420"/>
      </w:pPr>
      <w:r>
        <w:t>6.11 数据源授权承诺函（格式6-7）</w:t>
      </w:r>
    </w:p>
    <w:p>
      <w:pPr>
        <w:ind w:left="420"/>
      </w:pPr>
      <w:r>
        <w:t>6.12 技术文档与培训</w:t>
      </w:r>
    </w:p>
    <w:p>
      <w:pPr>
        <w:ind w:left="0"/>
      </w:pPr>
      <w:r>
        <w:t>7 资格证明文件</w:t>
      </w:r>
    </w:p>
    <w:p>
      <w:pPr>
        <w:ind w:left="420"/>
      </w:pPr>
      <w:r>
        <w:t>7.1 法人或其他组织证明材料（格式7-1）</w:t>
      </w:r>
    </w:p>
    <w:p>
      <w:pPr>
        <w:ind w:left="420"/>
      </w:pPr>
      <w:r>
        <w:t>7.2 供应商资格信用承诺函（格式7-2）</w:t>
      </w:r>
    </w:p>
    <w:p>
      <w:pPr>
        <w:ind w:left="420"/>
      </w:pPr>
      <w:r>
        <w:t>7.3 特定资格要求证明材料（格式7-3）</w:t>
      </w:r>
    </w:p>
    <w:p>
      <w:pPr>
        <w:ind w:left="420"/>
      </w:pPr>
      <w:r>
        <w:t>7.4 法定代表人授权书（格式7-4）</w:t>
      </w:r>
    </w:p>
    <w:p>
      <w:pPr>
        <w:ind w:left="420"/>
      </w:pPr>
      <w:r>
        <w:t>7.5 法定代表人身份证明书（格式7-5）</w:t>
      </w:r>
    </w:p>
    <w:p>
      <w:pPr>
        <w:ind w:left="420"/>
      </w:pPr>
      <w:r>
        <w:t>7.6 交纳投标保证金银行凭证（格式7-6）</w:t>
      </w:r>
    </w:p>
    <w:p>
      <w:pPr>
        <w:ind w:left="420"/>
      </w:pPr>
      <w:r>
        <w:t>7.7 无不良信用记录承诺函（格式7-7）</w:t>
      </w:r>
    </w:p>
    <w:p>
      <w:pPr>
        <w:ind w:left="420"/>
      </w:pPr>
      <w:r>
        <w:t>7.8 无违法违纪或不良记录承诺函（格式7-8）</w:t>
      </w:r>
    </w:p>
    <w:p>
      <w:pPr>
        <w:ind w:left="420"/>
      </w:pPr>
      <w:r>
        <w:t>7.9 管理体系与资质证书复印件</w:t>
      </w:r>
      <w:r>
        <w:fldChar w:fldCharType="end"/>
      </w:r>
    </w:p>
    <w:p>
      <w:pPr>
        <w:pStyle w:val="Heading1"/>
        <w:pageBreakBefore/>
      </w:pPr>
      <w:r>
        <w:t>1 投标函</w:t>
      </w:r>
    </w:p>
    <w:p w14:paraId="1AB96104">
      <w:pPr>
        <w:adjustRightInd w:val="0"/>
        <w:snapToGrid w:val="0"/>
        <w:spacing w:line="360" w:lineRule="auto"/>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致：江西省永晋招标咨询有限公司</w:t>
      </w:r>
    </w:p>
    <w:p w14:paraId="36A60B2E">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 xml:space="preserve">根据贵方为</w:t>
      </w:r>
      <w:r>
        <w:rPr>
          <w:rFonts w:hint="eastAsia" w:ascii="仿宋" w:hAnsi="仿宋" w:eastAsia="仿宋" w:cs="仿宋"/>
          <w:color w:val="auto"/>
          <w:kern w:val="0"/>
          <w:sz w:val="28"/>
          <w:szCs w:val="28"/>
          <w:highlight w:val="none"/>
        </w:rPr>
        <w:t xml:space="preserve">（赣州银行2026年度外部数据供应商入围采购项目）</w:t>
      </w:r>
      <w:r>
        <w:rPr>
          <w:rFonts w:hint="eastAsia" w:ascii="仿宋" w:hAnsi="仿宋" w:eastAsia="仿宋" w:cs="仿宋"/>
          <w:color w:val="auto"/>
          <w:kern w:val="0"/>
          <w:sz w:val="28"/>
          <w:szCs w:val="28"/>
          <w:highlight w:val="none"/>
        </w:rPr>
        <w:t xml:space="preserve">项目招标采购服务的投标邀请</w:t>
      </w:r>
      <w:r>
        <w:rPr>
          <w:rFonts w:hint="eastAsia" w:ascii="仿宋" w:hAnsi="仿宋" w:eastAsia="仿宋" w:cs="仿宋"/>
          <w:color w:val="auto"/>
          <w:kern w:val="0"/>
          <w:sz w:val="28"/>
          <w:szCs w:val="28"/>
          <w:highlight w:val="none"/>
        </w:rPr>
        <w:t xml:space="preserve">（招标编号：JXYJ2026-GZYH-G005-1）</w:t>
      </w:r>
      <w:r>
        <w:rPr>
          <w:rFonts w:hint="eastAsia" w:ascii="仿宋" w:hAnsi="仿宋" w:eastAsia="仿宋" w:cs="仿宋"/>
          <w:color w:val="auto"/>
          <w:kern w:val="0"/>
          <w:sz w:val="28"/>
          <w:szCs w:val="28"/>
          <w:highlight w:val="none"/>
        </w:rPr>
        <w:t xml:space="preserve">，签字代表</w:t>
      </w:r>
      <w:r>
        <w:rPr>
          <w:rFonts w:hint="eastAsia" w:ascii="仿宋" w:hAnsi="仿宋" w:eastAsia="仿宋" w:cs="仿宋"/>
          <w:color w:val="auto"/>
          <w:kern w:val="0"/>
          <w:sz w:val="28"/>
          <w:szCs w:val="28"/>
          <w:highlight w:val="none"/>
        </w:rPr>
        <w:t xml:space="preserve">（王验收，投标负责人）</w:t>
      </w:r>
      <w:r>
        <w:rPr>
          <w:rFonts w:hint="eastAsia" w:ascii="仿宋" w:hAnsi="仿宋" w:eastAsia="仿宋" w:cs="仿宋"/>
          <w:color w:val="auto"/>
          <w:kern w:val="0"/>
          <w:sz w:val="28"/>
          <w:szCs w:val="28"/>
          <w:highlight w:val="none"/>
        </w:rPr>
        <w:t xml:space="preserve">经正式授权并代表投标供应商</w:t>
      </w:r>
      <w:r>
        <w:rPr>
          <w:rFonts w:hint="eastAsia" w:ascii="仿宋" w:hAnsi="仿宋" w:eastAsia="仿宋" w:cs="仿宋"/>
          <w:color w:val="auto"/>
          <w:kern w:val="0"/>
          <w:sz w:val="28"/>
          <w:szCs w:val="28"/>
          <w:highlight w:val="none"/>
        </w:rPr>
        <w:t xml:space="preserve">（杭州研数科技有限公司（验收演示）、杭州市滨江区演示路100号（验收演示））</w:t>
      </w:r>
      <w:r>
        <w:rPr>
          <w:rFonts w:hint="eastAsia" w:ascii="仿宋" w:hAnsi="仿宋" w:eastAsia="仿宋" w:cs="仿宋"/>
          <w:color w:val="auto"/>
          <w:kern w:val="0"/>
          <w:sz w:val="28"/>
          <w:szCs w:val="28"/>
          <w:highlight w:val="none"/>
        </w:rPr>
        <w:t xml:space="preserve">提交下述文件。</w:t>
      </w:r>
    </w:p>
    <w:p w14:paraId="78D66F8D">
      <w:pPr>
        <w:adjustRightInd w:val="0"/>
        <w:snapToGrid w:val="0"/>
        <w:spacing w:line="360" w:lineRule="auto"/>
        <w:ind w:firstLine="560" w:firstLineChars="200"/>
        <w:rPr>
          <w:rFonts w:hint="eastAsia" w:ascii="仿宋" w:hAnsi="仿宋" w:eastAsia="仿宋" w:cs="仿宋"/>
          <w:color w:val="auto"/>
          <w:kern w:val="0"/>
          <w:sz w:val="28"/>
          <w:szCs w:val="28"/>
          <w:highlight w:val="none"/>
          <w:lang w:eastAsia="zh-CN"/>
        </w:rPr>
      </w:pPr>
      <w:r>
        <w:rPr>
          <w:rFonts w:hint="eastAsia" w:ascii="仿宋" w:hAnsi="仿宋" w:eastAsia="仿宋" w:cs="仿宋"/>
          <w:color w:val="auto"/>
          <w:kern w:val="0"/>
          <w:sz w:val="28"/>
          <w:szCs w:val="28"/>
          <w:highlight w:val="none"/>
        </w:rPr>
        <w:t xml:space="preserve">1. </w:t>
      </w:r>
      <w:r>
        <w:rPr>
          <w:rFonts w:hint="eastAsia" w:ascii="仿宋" w:hAnsi="仿宋" w:eastAsia="仿宋" w:cs="仿宋"/>
          <w:color w:val="auto"/>
          <w:kern w:val="0"/>
          <w:sz w:val="28"/>
          <w:szCs w:val="28"/>
          <w:highlight w:val="none"/>
          <w:lang w:val="en-US" w:eastAsia="zh-CN"/>
        </w:rPr>
        <w:t>投标文件资料清单</w:t>
      </w:r>
    </w:p>
    <w:p w14:paraId="422ABAB9">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 xml:space="preserve">2. </w:t>
      </w:r>
      <w:r>
        <w:rPr>
          <w:rFonts w:hint="eastAsia" w:ascii="仿宋" w:hAnsi="仿宋" w:eastAsia="仿宋" w:cs="仿宋"/>
          <w:color w:val="auto"/>
          <w:kern w:val="0"/>
          <w:sz w:val="28"/>
          <w:szCs w:val="28"/>
          <w:highlight w:val="none"/>
          <w:lang w:eastAsia="zh-CN"/>
        </w:rPr>
        <w:t>投标供应商</w:t>
      </w:r>
      <w:r>
        <w:rPr>
          <w:rFonts w:hint="eastAsia" w:ascii="仿宋" w:hAnsi="仿宋" w:eastAsia="仿宋" w:cs="仿宋"/>
          <w:color w:val="auto"/>
          <w:kern w:val="0"/>
          <w:sz w:val="28"/>
          <w:szCs w:val="28"/>
          <w:highlight w:val="none"/>
        </w:rPr>
        <w:t>关于响应</w:t>
      </w:r>
      <w:r>
        <w:rPr>
          <w:rFonts w:hint="eastAsia" w:ascii="仿宋" w:hAnsi="仿宋" w:eastAsia="仿宋" w:cs="仿宋"/>
          <w:color w:val="auto"/>
          <w:kern w:val="0"/>
          <w:sz w:val="28"/>
          <w:szCs w:val="28"/>
          <w:highlight w:val="none"/>
          <w:lang w:val="en-US" w:eastAsia="zh-CN"/>
        </w:rPr>
        <w:t>合同签订价规则</w:t>
      </w:r>
      <w:r>
        <w:rPr>
          <w:rFonts w:hint="eastAsia" w:ascii="仿宋" w:hAnsi="仿宋" w:eastAsia="仿宋" w:cs="仿宋"/>
          <w:color w:val="auto"/>
          <w:kern w:val="0"/>
          <w:sz w:val="28"/>
          <w:szCs w:val="28"/>
          <w:highlight w:val="none"/>
        </w:rPr>
        <w:t>的声明函</w:t>
      </w:r>
    </w:p>
    <w:p w14:paraId="4C3B3274">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3. 技术规格响应/偏离表</w:t>
      </w:r>
    </w:p>
    <w:p w14:paraId="42FB2110">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4. 商务条款响应/偏离表</w:t>
      </w:r>
    </w:p>
    <w:p w14:paraId="4B312ABD">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5. 按招标文件投标供应商须知和技术规格要求提供的有关文件</w:t>
      </w:r>
    </w:p>
    <w:p w14:paraId="1624BD31">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6. 资格证明文件</w:t>
      </w:r>
    </w:p>
    <w:p w14:paraId="71A46CF0">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 xml:space="preserve">7. 提交的投标保证金，</w:t>
      </w:r>
      <w:r>
        <w:rPr>
          <w:rFonts w:hint="eastAsia" w:ascii="仿宋" w:hAnsi="仿宋" w:eastAsia="仿宋" w:cs="仿宋"/>
          <w:color w:val="auto"/>
          <w:kern w:val="0"/>
          <w:sz w:val="28"/>
          <w:szCs w:val="28"/>
          <w:highlight w:val="none"/>
        </w:rPr>
        <w:t xml:space="preserve">金额为人民币1000元（大写：壹仟元整）。</w:t>
      </w:r>
    </w:p>
    <w:p w14:paraId="6F2ABCEF">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据此函,签字代表宣布同意如下:</w:t>
      </w:r>
    </w:p>
    <w:p w14:paraId="06AE51A5">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lang w:val="en-US" w:eastAsia="zh-CN"/>
        </w:rPr>
        <w:t>1</w:t>
      </w:r>
      <w:r>
        <w:rPr>
          <w:rFonts w:hint="eastAsia" w:ascii="仿宋" w:hAnsi="仿宋" w:eastAsia="仿宋" w:cs="仿宋"/>
          <w:color w:val="auto"/>
          <w:kern w:val="0"/>
          <w:sz w:val="28"/>
          <w:szCs w:val="28"/>
          <w:highlight w:val="none"/>
        </w:rPr>
        <w:t>. 投标供应商将按招标文件的规定履行合同责任和义务。</w:t>
      </w:r>
    </w:p>
    <w:p w14:paraId="1FD469D3">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lang w:val="en-US" w:eastAsia="zh-CN"/>
        </w:rPr>
        <w:t>2</w:t>
      </w:r>
      <w:r>
        <w:rPr>
          <w:rFonts w:hint="eastAsia" w:ascii="仿宋" w:hAnsi="仿宋" w:eastAsia="仿宋" w:cs="仿宋"/>
          <w:color w:val="auto"/>
          <w:kern w:val="0"/>
          <w:sz w:val="28"/>
          <w:szCs w:val="28"/>
          <w:highlight w:val="none"/>
        </w:rPr>
        <w:t xml:space="preserve">. 投标供应商已详细审查全部招标文件，包括第</w:t>
      </w:r>
      <w:r>
        <w:rPr>
          <w:rFonts w:hint="eastAsia" w:ascii="仿宋" w:hAnsi="仿宋" w:eastAsia="仿宋" w:cs="仿宋"/>
          <w:color w:val="auto"/>
          <w:kern w:val="0"/>
          <w:sz w:val="28"/>
          <w:szCs w:val="28"/>
          <w:highlight w:val="none"/>
        </w:rPr>
        <w:t xml:space="preserve">（编号：如无补遗书请填“无”）</w:t>
      </w:r>
      <w:r>
        <w:rPr>
          <w:rFonts w:hint="eastAsia" w:ascii="仿宋" w:hAnsi="仿宋" w:eastAsia="仿宋" w:cs="仿宋"/>
          <w:color w:val="auto"/>
          <w:kern w:val="0"/>
          <w:sz w:val="28"/>
          <w:szCs w:val="28"/>
          <w:highlight w:val="none"/>
        </w:rPr>
        <w:t xml:space="preserve">(如果有的话)。我们完全理解并同意放弃对这方面有不明及误解的权力。</w:t>
      </w:r>
    </w:p>
    <w:p w14:paraId="4D58C879">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lang w:val="en-US" w:eastAsia="zh-CN"/>
        </w:rPr>
        <w:t>3.</w:t>
      </w:r>
      <w:r>
        <w:rPr>
          <w:rFonts w:hint="eastAsia" w:ascii="仿宋" w:hAnsi="仿宋" w:eastAsia="仿宋" w:cs="仿宋"/>
          <w:color w:val="auto"/>
          <w:kern w:val="0"/>
          <w:sz w:val="28"/>
          <w:szCs w:val="28"/>
          <w:highlight w:val="none"/>
        </w:rPr>
        <w:t xml:space="preserve"> 本投标有效期为从投标文件提交截止之日起 </w:t>
      </w:r>
      <w:r>
        <w:rPr>
          <w:rFonts w:hint="eastAsia" w:ascii="仿宋" w:hAnsi="仿宋" w:eastAsia="仿宋" w:cs="仿宋"/>
          <w:color w:val="auto"/>
          <w:kern w:val="0"/>
          <w:sz w:val="28"/>
          <w:szCs w:val="28"/>
          <w:highlight w:val="none"/>
          <w:u w:val="single"/>
        </w:rPr>
        <w:t xml:space="preserve">   90   </w:t>
      </w:r>
      <w:r>
        <w:rPr>
          <w:rFonts w:hint="eastAsia" w:ascii="仿宋" w:hAnsi="仿宋" w:eastAsia="仿宋" w:cs="仿宋"/>
          <w:color w:val="auto"/>
          <w:kern w:val="0"/>
          <w:sz w:val="28"/>
          <w:szCs w:val="28"/>
          <w:highlight w:val="none"/>
        </w:rPr>
        <w:t>天。</w:t>
      </w:r>
    </w:p>
    <w:p w14:paraId="77350A49">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lang w:val="en-US" w:eastAsia="zh-CN"/>
        </w:rPr>
        <w:t>4</w:t>
      </w:r>
      <w:r>
        <w:rPr>
          <w:rFonts w:hint="eastAsia" w:ascii="仿宋" w:hAnsi="仿宋" w:eastAsia="仿宋" w:cs="仿宋"/>
          <w:color w:val="auto"/>
          <w:kern w:val="0"/>
          <w:sz w:val="28"/>
          <w:szCs w:val="28"/>
          <w:highlight w:val="none"/>
        </w:rPr>
        <w:t>. 如果在规定的开标时间后，投标供应商在投标有效期内撤回投标，投标保证金不予退还。</w:t>
      </w:r>
    </w:p>
    <w:p w14:paraId="3FBEAAB8">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lang w:val="en-US" w:eastAsia="zh-CN"/>
        </w:rPr>
        <w:t>5</w:t>
      </w:r>
      <w:r>
        <w:rPr>
          <w:rFonts w:hint="eastAsia" w:ascii="仿宋" w:hAnsi="仿宋" w:eastAsia="仿宋" w:cs="仿宋"/>
          <w:color w:val="auto"/>
          <w:kern w:val="0"/>
          <w:sz w:val="28"/>
          <w:szCs w:val="28"/>
          <w:highlight w:val="none"/>
        </w:rPr>
        <w:t>. 投标供应商同意提供按照贵方可能要求的与其投标有关的一切数据或资料，完全理解贵方不一定接受最低价的投标或收到的任何投标。</w:t>
      </w:r>
    </w:p>
    <w:p w14:paraId="0E257942">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lang w:val="en-US" w:eastAsia="zh-CN"/>
        </w:rPr>
        <w:t>6</w:t>
      </w:r>
      <w:r>
        <w:rPr>
          <w:rFonts w:hint="eastAsia" w:ascii="仿宋" w:hAnsi="仿宋" w:eastAsia="仿宋" w:cs="仿宋"/>
          <w:color w:val="auto"/>
          <w:kern w:val="0"/>
          <w:sz w:val="28"/>
          <w:szCs w:val="28"/>
          <w:highlight w:val="none"/>
        </w:rPr>
        <w:t>. 与本投标有关的一切正式往来信函请寄:</w:t>
      </w:r>
    </w:p>
    <w:p w14:paraId="41741E2B">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 xml:space="preserve">地址：杭州市滨江区演示路100号（验收演示）</w:t>
      </w:r>
      <w:r>
        <w:rPr>
          <w:rFonts w:hint="eastAsia" w:ascii="仿宋" w:hAnsi="仿宋" w:eastAsia="仿宋" w:cs="仿宋"/>
          <w:color w:val="auto"/>
          <w:kern w:val="0"/>
          <w:sz w:val="28"/>
          <w:szCs w:val="28"/>
          <w:highlight w:val="none"/>
        </w:rPr>
        <w:t xml:space="preserve"> </w:t>
      </w:r>
    </w:p>
    <w:p w14:paraId="516B2093">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 xml:space="preserve">传真：无（验收演示）</w:t>
      </w:r>
      <w:r>
        <w:rPr>
          <w:rFonts w:hint="eastAsia" w:ascii="仿宋" w:hAnsi="仿宋" w:eastAsia="仿宋" w:cs="仿宋"/>
          <w:color w:val="auto"/>
          <w:kern w:val="0"/>
          <w:sz w:val="28"/>
          <w:szCs w:val="28"/>
          <w:highlight w:val="none"/>
        </w:rPr>
        <w:t xml:space="preserve"> </w:t>
      </w:r>
    </w:p>
    <w:p w14:paraId="0AABE133">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 xml:space="preserve">电话：0571-00000000（验收演示）</w:t>
      </w:r>
      <w:r>
        <w:rPr>
          <w:rFonts w:hint="eastAsia" w:ascii="仿宋" w:hAnsi="仿宋" w:eastAsia="仿宋" w:cs="仿宋"/>
          <w:color w:val="auto"/>
          <w:kern w:val="0"/>
          <w:sz w:val="28"/>
          <w:szCs w:val="28"/>
          <w:highlight w:val="none"/>
        </w:rPr>
        <w:t xml:space="preserve"> </w:t>
      </w:r>
    </w:p>
    <w:p w14:paraId="4797ABCE">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 xml:space="preserve">电子邮件：bid@example.test（验收演示）</w:t>
      </w:r>
      <w:r>
        <w:rPr>
          <w:rFonts w:hint="eastAsia" w:ascii="仿宋" w:hAnsi="仿宋" w:eastAsia="仿宋" w:cs="仿宋"/>
          <w:color w:val="auto"/>
          <w:kern w:val="0"/>
          <w:sz w:val="28"/>
          <w:szCs w:val="28"/>
          <w:highlight w:val="none"/>
        </w:rPr>
        <w:t xml:space="preserve">    </w:t>
      </w:r>
    </w:p>
    <w:p w14:paraId="7D40B91F">
      <w:pPr>
        <w:adjustRightInd w:val="0"/>
        <w:snapToGrid w:val="0"/>
        <w:spacing w:line="360" w:lineRule="auto"/>
        <w:ind w:firstLine="560" w:firstLineChars="200"/>
        <w:rPr>
          <w:rFonts w:hint="eastAsia" w:ascii="仿宋" w:hAnsi="仿宋" w:eastAsia="仿宋" w:cs="仿宋"/>
          <w:color w:val="auto"/>
          <w:kern w:val="0"/>
          <w:sz w:val="28"/>
          <w:szCs w:val="28"/>
          <w:highlight w:val="none"/>
        </w:rPr>
      </w:pPr>
      <w:commentRangeStart w:id="0"/>
      <w:r>
        <w:rPr>
          <w:rFonts w:hint="eastAsia" w:ascii="仿宋" w:hAnsi="仿宋" w:eastAsia="仿宋" w:cs="仿宋"/>
          <w:color w:val="auto"/>
          <w:kern w:val="0"/>
          <w:sz w:val="28"/>
          <w:szCs w:val="28"/>
          <w:highlight w:val="none"/>
        </w:rPr>
        <w:t>法定代表人（经营者或自然人）</w:t>
      </w:r>
      <w:r>
        <w:rPr>
          <w:rFonts w:hint="eastAsia" w:ascii="仿宋" w:hAnsi="仿宋" w:eastAsia="仿宋" w:cs="仿宋"/>
          <w:color w:val="auto"/>
          <w:kern w:val="0"/>
          <w:sz w:val="28"/>
          <w:szCs w:val="28"/>
          <w:highlight w:val="none"/>
          <w:lang w:val="en-US" w:eastAsia="zh-CN"/>
        </w:rPr>
        <w:t>或授权代表</w:t>
      </w:r>
      <w:commentRangeEnd w:id="0"/>
      <w:r>
        <w:rPr>
          <w:rStyle w:val="CommentReference"/>
        </w:rPr>
        <w:commentReference w:id="0"/>
      </w:r>
      <w:r>
        <w:rPr>
          <w:rFonts w:hint="eastAsia" w:ascii="仿宋" w:hAnsi="仿宋" w:eastAsia="仿宋" w:cs="仿宋"/>
          <w:color w:val="auto"/>
          <w:kern w:val="0"/>
          <w:sz w:val="28"/>
          <w:szCs w:val="28"/>
          <w:highlight w:val="none"/>
        </w:rPr>
        <w:t xml:space="preserve">（签字或盖章）：王验收（投标负责人，验收演示）</w:t>
      </w:r>
    </w:p>
    <w:p w14:paraId="306CFE0E">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 xml:space="preserve">投标供应商名称（公章或自然人印鉴章）：杭州研数科技有限公司（验收演示）</w:t>
      </w:r>
    </w:p>
    <w:p w14:paraId="2A7EFA75">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 xml:space="preserve">2026年8月19日</w:t>
      </w:r>
    </w:p>
    <w:p>
      <w:pPr>
        <w:pStyle w:val="Heading1"/>
        <w:pageBreakBefore/>
      </w:pPr>
      <w:r>
        <w:t>2 投标文件资料清单</w:t>
      </w:r>
    </w:p>
    <w:p w14:paraId="253519FB">
      <w:pPr>
        <w:pStyle w:val="4"/>
        <w:spacing w:before="0" w:after="0" w:line="560" w:lineRule="exact"/>
        <w:jc w:val="center"/>
        <w:outlineLvl w:val="9"/>
        <w:rPr>
          <w:rFonts w:hint="eastAsia" w:ascii="仿宋" w:hAnsi="仿宋" w:eastAsia="仿宋" w:cs="仿宋"/>
          <w:color w:val="auto"/>
          <w:kern w:val="0"/>
          <w:highlight w:val="none"/>
        </w:rPr>
      </w:pPr>
      <w:r>
        <w:rPr>
          <w:rFonts w:hint="eastAsia" w:ascii="仿宋" w:hAnsi="仿宋" w:eastAsia="仿宋" w:cs="仿宋"/>
          <w:color w:val="auto"/>
          <w:kern w:val="0"/>
          <w:highlight w:val="none"/>
        </w:rPr>
        <w:br w:type="page"/>
      </w:r>
      <w:r>
        <w:rPr>
          <w:rFonts w:hint="eastAsia" w:ascii="仿宋" w:hAnsi="仿宋" w:eastAsia="仿宋" w:cs="仿宋"/>
          <w:color w:val="auto"/>
          <w:kern w:val="0"/>
          <w:highlight w:val="none"/>
        </w:rPr>
        <w:t>2</w:t>
      </w:r>
      <w:r>
        <w:rPr>
          <w:rFonts w:hint="eastAsia" w:ascii="仿宋" w:hAnsi="仿宋" w:eastAsia="仿宋" w:cs="仿宋"/>
          <w:color w:val="auto"/>
          <w:kern w:val="0"/>
          <w:highlight w:val="none"/>
        </w:rPr>
        <w:t>．投标文件资料清单（格式）</w:t>
      </w:r>
    </w:p>
    <w:p w14:paraId="078E2D75">
      <w:pPr>
        <w:spacing w:line="360" w:lineRule="auto"/>
        <w:ind w:firstLine="420" w:firstLineChars="200"/>
        <w:jc w:val="left"/>
        <w:rPr>
          <w:rFonts w:hint="eastAsia" w:ascii="仿宋" w:hAnsi="仿宋" w:eastAsia="仿宋" w:cs="仿宋"/>
          <w:color w:val="auto"/>
          <w:highlight w:val="none"/>
        </w:rPr>
      </w:pPr>
      <w:commentRangeStart w:id="1"/>
      <w:r/>
      <w:commentRangeEnd w:id="1"/>
      <w:r>
        <w:rPr>
          <w:rStyle w:val="CommentReference"/>
        </w:rPr>
        <w:commentReference w:id="1"/>
      </w:r>
    </w:p>
    <w:tbl>
      <w:tblPr>
        <w:tblStyle w:val="42"/>
        <w:tblW w:w="0" w:type="auto"/>
        <w:jc w:val="center"/>
        <w:tblCellSpacing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1036"/>
        <w:gridCol w:w="5318"/>
        <w:gridCol w:w="3088"/>
      </w:tblGrid>
      <w:tr w14:paraId="7500B9F2">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6457BEAF">
            <w:pPr>
              <w:widowControl/>
              <w:spacing w:line="360" w:lineRule="auto"/>
              <w:jc w:val="center"/>
              <w:rPr>
                <w:rFonts w:hint="eastAsia" w:ascii="仿宋" w:hAnsi="仿宋" w:eastAsia="仿宋" w:cs="仿宋"/>
                <w:color w:val="auto"/>
                <w:kern w:val="0"/>
                <w:sz w:val="28"/>
                <w:szCs w:val="28"/>
                <w:highlight w:val="none"/>
              </w:rPr>
            </w:pPr>
            <w:r>
              <w:rPr>
                <w:rFonts w:hint="eastAsia" w:ascii="仿宋" w:hAnsi="仿宋" w:eastAsia="仿宋" w:cs="仿宋"/>
                <w:bCs/>
                <w:color w:val="auto"/>
                <w:kern w:val="0"/>
                <w:sz w:val="28"/>
                <w:szCs w:val="28"/>
                <w:highlight w:val="none"/>
              </w:rPr>
              <w:t>序号</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09817C98">
            <w:pPr>
              <w:widowControl/>
              <w:spacing w:line="360" w:lineRule="auto"/>
              <w:jc w:val="center"/>
              <w:rPr>
                <w:rFonts w:hint="eastAsia" w:ascii="仿宋" w:hAnsi="仿宋" w:eastAsia="仿宋" w:cs="仿宋"/>
                <w:color w:val="auto"/>
                <w:kern w:val="0"/>
                <w:sz w:val="28"/>
                <w:szCs w:val="28"/>
                <w:highlight w:val="none"/>
              </w:rPr>
            </w:pPr>
            <w:r>
              <w:rPr>
                <w:rFonts w:hint="eastAsia" w:ascii="仿宋" w:hAnsi="仿宋" w:eastAsia="仿宋" w:cs="仿宋"/>
                <w:bCs/>
                <w:color w:val="auto"/>
                <w:kern w:val="0"/>
                <w:sz w:val="28"/>
                <w:szCs w:val="28"/>
                <w:highlight w:val="none"/>
              </w:rPr>
              <w:t>资料名称</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5FEA1954">
            <w:pPr>
              <w:widowControl/>
              <w:spacing w:line="360" w:lineRule="auto"/>
              <w:jc w:val="center"/>
              <w:rPr>
                <w:rFonts w:hint="eastAsia" w:ascii="仿宋" w:hAnsi="仿宋" w:eastAsia="仿宋" w:cs="仿宋"/>
                <w:color w:val="auto"/>
                <w:kern w:val="0"/>
                <w:sz w:val="28"/>
                <w:szCs w:val="28"/>
                <w:highlight w:val="none"/>
              </w:rPr>
            </w:pPr>
            <w:r>
              <w:rPr>
                <w:rFonts w:hint="eastAsia" w:ascii="仿宋" w:hAnsi="仿宋" w:eastAsia="仿宋" w:cs="仿宋"/>
                <w:bCs/>
                <w:color w:val="auto"/>
                <w:kern w:val="0"/>
                <w:sz w:val="28"/>
                <w:szCs w:val="28"/>
                <w:highlight w:val="none"/>
              </w:rPr>
              <w:t>页码范围</w:t>
            </w:r>
          </w:p>
        </w:tc>
      </w:tr>
      <w:tr w14:paraId="23E68127">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2D8A1422">
            <w:pPr>
              <w:widowControl/>
              <w:spacing w:line="360" w:lineRule="auto"/>
              <w:jc w:val="center"/>
              <w:rPr>
                <w:rFonts w:hint="eastAsia" w:ascii="仿宋" w:hAnsi="仿宋" w:eastAsia="仿宋" w:cs="仿宋"/>
                <w:color w:val="auto"/>
                <w:kern w:val="0"/>
                <w:sz w:val="24"/>
                <w:highlight w:val="none"/>
              </w:rPr>
            </w:pPr>
            <w:r>
              <w:t xml:space="preserve">1</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187CA572">
            <w:pPr>
              <w:widowControl/>
              <w:spacing w:line="360" w:lineRule="auto"/>
              <w:jc w:val="left"/>
              <w:rPr>
                <w:rFonts w:hint="eastAsia" w:ascii="仿宋" w:hAnsi="仿宋" w:eastAsia="仿宋" w:cs="仿宋"/>
                <w:color w:val="auto"/>
                <w:kern w:val="0"/>
                <w:sz w:val="24"/>
                <w:highlight w:val="none"/>
              </w:rPr>
            </w:pPr>
            <w:r>
              <w:t xml:space="preserve">投标函</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742988DB">
            <w:pPr>
              <w:widowControl/>
              <w:spacing w:line="360" w:lineRule="auto"/>
              <w:jc w:val="left"/>
              <w:rPr>
                <w:rFonts w:hint="eastAsia" w:ascii="仿宋" w:hAnsi="仿宋" w:eastAsia="仿宋" w:cs="仿宋"/>
                <w:color w:val="auto"/>
                <w:kern w:val="0"/>
                <w:sz w:val="24"/>
                <w:highlight w:val="none"/>
              </w:rPr>
            </w:pPr>
            <w:r>
              <w:t xml:space="preserve">1-1</w:t>
            </w:r>
          </w:p>
        </w:tc>
      </w:tr>
      <w:tr w14:paraId="5CC22C98">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745E1F63">
            <w:pPr>
              <w:widowControl/>
              <w:spacing w:line="360" w:lineRule="auto"/>
              <w:jc w:val="center"/>
              <w:rPr>
                <w:rFonts w:hint="eastAsia" w:ascii="仿宋" w:hAnsi="仿宋" w:eastAsia="仿宋" w:cs="仿宋"/>
                <w:color w:val="auto"/>
                <w:kern w:val="0"/>
                <w:sz w:val="24"/>
                <w:highlight w:val="none"/>
              </w:rPr>
            </w:pPr>
            <w:r>
              <w:t xml:space="preserve">2</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042C0E72">
            <w:pPr>
              <w:widowControl/>
              <w:spacing w:line="360" w:lineRule="auto"/>
              <w:jc w:val="left"/>
              <w:rPr>
                <w:rFonts w:hint="eastAsia" w:ascii="仿宋" w:hAnsi="仿宋" w:eastAsia="仿宋" w:cs="仿宋"/>
                <w:color w:val="auto"/>
                <w:kern w:val="0"/>
                <w:sz w:val="24"/>
                <w:highlight w:val="none"/>
              </w:rPr>
            </w:pPr>
            <w:r>
              <w:t xml:space="preserve">投标文件资料清单</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57176E33">
            <w:pPr>
              <w:widowControl/>
              <w:spacing w:line="360" w:lineRule="auto"/>
              <w:jc w:val="left"/>
              <w:rPr>
                <w:rFonts w:hint="eastAsia" w:ascii="仿宋" w:hAnsi="仿宋" w:eastAsia="仿宋" w:cs="仿宋"/>
                <w:color w:val="auto"/>
                <w:kern w:val="0"/>
                <w:sz w:val="24"/>
                <w:highlight w:val="none"/>
              </w:rPr>
            </w:pPr>
            <w:r>
              <w:t xml:space="preserve">2-2</w:t>
            </w:r>
          </w:p>
        </w:tc>
      </w:tr>
      <w:tr w14:paraId="3005B626">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23C1E489">
            <w:pPr>
              <w:widowControl/>
              <w:spacing w:line="360" w:lineRule="auto"/>
              <w:jc w:val="center"/>
              <w:rPr>
                <w:rFonts w:hint="eastAsia" w:ascii="仿宋" w:hAnsi="仿宋" w:eastAsia="仿宋" w:cs="仿宋"/>
                <w:color w:val="auto"/>
                <w:kern w:val="0"/>
                <w:sz w:val="24"/>
                <w:highlight w:val="none"/>
              </w:rPr>
            </w:pPr>
            <w:r>
              <w:t xml:space="preserve">3</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2CE06697">
            <w:pPr>
              <w:widowControl/>
              <w:spacing w:line="360" w:lineRule="auto"/>
              <w:jc w:val="left"/>
              <w:rPr>
                <w:rFonts w:hint="eastAsia" w:ascii="仿宋" w:hAnsi="仿宋" w:eastAsia="仿宋" w:cs="仿宋"/>
                <w:color w:val="auto"/>
                <w:kern w:val="0"/>
                <w:sz w:val="24"/>
                <w:highlight w:val="none"/>
              </w:rPr>
            </w:pPr>
            <w:r>
              <w:t xml:space="preserve">投标供应商关于响应合同签订价规则的声明函</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1A15E3FF">
            <w:pPr>
              <w:widowControl/>
              <w:spacing w:line="360" w:lineRule="auto"/>
              <w:jc w:val="left"/>
              <w:rPr>
                <w:rFonts w:hint="eastAsia" w:ascii="仿宋" w:hAnsi="仿宋" w:eastAsia="仿宋" w:cs="仿宋"/>
                <w:color w:val="auto"/>
                <w:kern w:val="0"/>
                <w:sz w:val="24"/>
                <w:highlight w:val="none"/>
              </w:rPr>
            </w:pPr>
            <w:r>
              <w:t xml:space="preserve">3-3</w:t>
            </w:r>
          </w:p>
        </w:tc>
      </w:tr>
      <w:tr w14:paraId="62C87521">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7FD060D9">
            <w:pPr>
              <w:widowControl/>
              <w:spacing w:line="360" w:lineRule="auto"/>
              <w:jc w:val="center"/>
              <w:rPr>
                <w:rFonts w:hint="eastAsia" w:ascii="仿宋" w:hAnsi="仿宋" w:eastAsia="仿宋" w:cs="仿宋"/>
                <w:color w:val="auto"/>
                <w:kern w:val="0"/>
                <w:sz w:val="24"/>
                <w:highlight w:val="none"/>
              </w:rPr>
            </w:pPr>
            <w:r>
              <w:t xml:space="preserve">4</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64F07C18">
            <w:pPr>
              <w:widowControl/>
              <w:spacing w:line="360" w:lineRule="auto"/>
              <w:jc w:val="left"/>
              <w:rPr>
                <w:rFonts w:hint="eastAsia" w:ascii="仿宋" w:hAnsi="仿宋" w:eastAsia="仿宋" w:cs="仿宋"/>
                <w:color w:val="auto"/>
                <w:kern w:val="0"/>
                <w:sz w:val="24"/>
                <w:highlight w:val="none"/>
              </w:rPr>
            </w:pPr>
            <w:r>
              <w:t xml:space="preserve">技术规格响应/偏离表</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481AF813">
            <w:pPr>
              <w:widowControl/>
              <w:spacing w:line="360" w:lineRule="auto"/>
              <w:jc w:val="left"/>
              <w:rPr>
                <w:rFonts w:hint="eastAsia" w:ascii="仿宋" w:hAnsi="仿宋" w:eastAsia="仿宋" w:cs="仿宋"/>
                <w:color w:val="auto"/>
                <w:kern w:val="0"/>
                <w:sz w:val="24"/>
                <w:highlight w:val="none"/>
              </w:rPr>
            </w:pPr>
            <w:r>
              <w:t xml:space="preserve">4-4</w:t>
            </w:r>
          </w:p>
        </w:tc>
      </w:tr>
      <w:tr w14:paraId="48CBA5E8">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01CEA977">
            <w:pPr>
              <w:widowControl/>
              <w:spacing w:line="360" w:lineRule="auto"/>
              <w:jc w:val="center"/>
              <w:rPr>
                <w:rFonts w:hint="eastAsia" w:ascii="仿宋" w:hAnsi="仿宋" w:eastAsia="仿宋" w:cs="仿宋"/>
                <w:color w:val="auto"/>
                <w:kern w:val="0"/>
                <w:sz w:val="24"/>
                <w:highlight w:val="none"/>
              </w:rPr>
            </w:pPr>
            <w:r>
              <w:t xml:space="preserve">5</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338E737F">
            <w:pPr>
              <w:widowControl/>
              <w:spacing w:line="360" w:lineRule="auto"/>
              <w:jc w:val="left"/>
              <w:rPr>
                <w:rFonts w:hint="eastAsia" w:ascii="仿宋" w:hAnsi="仿宋" w:eastAsia="仿宋" w:cs="仿宋"/>
                <w:color w:val="auto"/>
                <w:kern w:val="0"/>
                <w:sz w:val="24"/>
                <w:highlight w:val="none"/>
              </w:rPr>
            </w:pPr>
            <w:r>
              <w:t xml:space="preserve">商务条款响应/偏离表</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0912B121">
            <w:pPr>
              <w:widowControl/>
              <w:spacing w:line="360" w:lineRule="auto"/>
              <w:jc w:val="left"/>
              <w:rPr>
                <w:rFonts w:hint="eastAsia" w:ascii="仿宋" w:hAnsi="仿宋" w:eastAsia="仿宋" w:cs="仿宋"/>
                <w:color w:val="auto"/>
                <w:kern w:val="0"/>
                <w:sz w:val="24"/>
                <w:highlight w:val="none"/>
              </w:rPr>
            </w:pPr>
            <w:r>
              <w:t xml:space="preserve">5-5</w:t>
            </w:r>
          </w:p>
        </w:tc>
      </w:tr>
      <w:tr w14:paraId="4FBA63B5">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6B73DE31">
            <w:pPr>
              <w:widowControl/>
              <w:spacing w:line="360" w:lineRule="auto"/>
              <w:jc w:val="center"/>
              <w:rPr>
                <w:rFonts w:hint="eastAsia" w:ascii="仿宋" w:hAnsi="仿宋" w:eastAsia="仿宋" w:cs="仿宋"/>
                <w:color w:val="auto"/>
                <w:kern w:val="0"/>
                <w:sz w:val="24"/>
                <w:highlight w:val="none"/>
              </w:rPr>
            </w:pPr>
            <w:r>
              <w:t xml:space="preserve">6</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283831A9">
            <w:pPr>
              <w:widowControl/>
              <w:spacing w:line="360" w:lineRule="auto"/>
              <w:jc w:val="left"/>
              <w:rPr>
                <w:rFonts w:hint="eastAsia" w:ascii="仿宋" w:hAnsi="仿宋" w:eastAsia="仿宋" w:cs="仿宋"/>
                <w:color w:val="auto"/>
                <w:kern w:val="0"/>
                <w:sz w:val="24"/>
                <w:highlight w:val="none"/>
              </w:rPr>
            </w:pPr>
            <w:r>
              <w:t xml:space="preserve">外部数据采购实施案例清单（格式6-1）</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175DC53B">
            <w:pPr>
              <w:widowControl/>
              <w:spacing w:line="360" w:lineRule="auto"/>
              <w:jc w:val="left"/>
              <w:rPr>
                <w:rFonts w:hint="eastAsia" w:ascii="仿宋" w:hAnsi="仿宋" w:eastAsia="仿宋" w:cs="仿宋"/>
                <w:color w:val="auto"/>
                <w:kern w:val="0"/>
                <w:sz w:val="24"/>
                <w:highlight w:val="none"/>
              </w:rPr>
            </w:pPr>
            <w:r>
              <w:t xml:space="preserve">6-8</w:t>
            </w:r>
          </w:p>
        </w:tc>
      </w:tr>
      <w:tr w14:paraId="5CF9B74A">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2AE9EC4A">
            <w:pPr>
              <w:widowControl/>
              <w:spacing w:line="360" w:lineRule="auto"/>
              <w:jc w:val="center"/>
              <w:rPr>
                <w:rFonts w:hint="eastAsia" w:ascii="仿宋" w:hAnsi="仿宋" w:eastAsia="仿宋" w:cs="仿宋"/>
                <w:color w:val="auto"/>
                <w:kern w:val="0"/>
                <w:sz w:val="24"/>
                <w:highlight w:val="none"/>
              </w:rPr>
            </w:pPr>
            <w:r>
              <w:t xml:space="preserve">7</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30E1E237">
            <w:pPr>
              <w:widowControl/>
              <w:spacing w:line="360" w:lineRule="auto"/>
              <w:jc w:val="left"/>
              <w:rPr>
                <w:rFonts w:hint="eastAsia" w:ascii="仿宋" w:hAnsi="仿宋" w:eastAsia="仿宋" w:cs="仿宋"/>
                <w:color w:val="auto"/>
                <w:kern w:val="0"/>
                <w:sz w:val="24"/>
                <w:highlight w:val="none"/>
              </w:rPr>
            </w:pPr>
            <w:r>
              <w:t xml:space="preserve">项目整体技术实施方案</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1D655B89">
            <w:pPr>
              <w:widowControl/>
              <w:spacing w:line="360" w:lineRule="auto"/>
              <w:jc w:val="left"/>
              <w:rPr>
                <w:rFonts w:hint="eastAsia" w:ascii="仿宋" w:hAnsi="仿宋" w:eastAsia="仿宋" w:cs="仿宋"/>
                <w:color w:val="auto"/>
                <w:kern w:val="0"/>
                <w:sz w:val="24"/>
                <w:highlight w:val="none"/>
              </w:rPr>
            </w:pPr>
            <w:r>
              <w:t xml:space="preserve">9-12</w:t>
            </w:r>
          </w:p>
        </w:tc>
      </w:tr>
      <w:tr w14:paraId="765EA07A">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794DC5E4">
            <w:pPr>
              <w:widowControl/>
              <w:spacing w:line="360" w:lineRule="auto"/>
              <w:jc w:val="center"/>
              <w:rPr>
                <w:rFonts w:hint="eastAsia" w:ascii="仿宋" w:hAnsi="仿宋" w:eastAsia="仿宋" w:cs="仿宋"/>
                <w:color w:val="auto"/>
                <w:kern w:val="0"/>
                <w:sz w:val="24"/>
                <w:highlight w:val="none"/>
              </w:rPr>
            </w:pPr>
            <w:r>
              <w:t xml:space="preserve">8</w:t>
            </w:r>
          </w:p>
        </w:tc>
        <w:tc>
          <w:tcPr>
            <w:tcW w:w="5318" w:type="dxa"/>
            <w:tcBorders>
              <w:top w:val="outset" w:color="auto" w:sz="6" w:space="0"/>
              <w:left w:val="outset" w:color="auto" w:sz="6" w:space="0"/>
              <w:bottom w:val="outset" w:color="auto" w:sz="6" w:space="0"/>
              <w:right w:val="outset" w:color="auto" w:sz="6" w:space="0"/>
            </w:tcBorders>
            <w:noWrap w:val="0"/>
            <w:vAlign w:val="top"/>
          </w:tcPr>
          <w:p w14:paraId="74721482">
            <w:pPr>
              <w:widowControl/>
              <w:spacing w:line="360" w:lineRule="auto"/>
              <w:jc w:val="left"/>
              <w:rPr>
                <w:rFonts w:hint="eastAsia" w:ascii="仿宋" w:hAnsi="仿宋" w:eastAsia="仿宋" w:cs="仿宋"/>
                <w:color w:val="auto"/>
                <w:kern w:val="0"/>
                <w:sz w:val="24"/>
                <w:highlight w:val="none"/>
              </w:rPr>
            </w:pPr>
            <w:r>
              <w:t xml:space="preserve">技术架构方案</w:t>
            </w:r>
          </w:p>
        </w:tc>
        <w:tc>
          <w:tcPr>
            <w:tcW w:w="3088" w:type="dxa"/>
            <w:tcBorders>
              <w:top w:val="outset" w:color="auto" w:sz="6" w:space="0"/>
              <w:left w:val="outset" w:color="auto" w:sz="6" w:space="0"/>
              <w:bottom w:val="outset" w:color="auto" w:sz="6" w:space="0"/>
              <w:right w:val="outset" w:color="auto" w:sz="6" w:space="0"/>
            </w:tcBorders>
            <w:noWrap w:val="0"/>
            <w:vAlign w:val="center"/>
          </w:tcPr>
          <w:p w14:paraId="5A5C98B6">
            <w:pPr>
              <w:widowControl/>
              <w:spacing w:line="360" w:lineRule="auto"/>
              <w:jc w:val="left"/>
              <w:rPr>
                <w:rFonts w:hint="eastAsia" w:ascii="仿宋" w:hAnsi="仿宋" w:eastAsia="仿宋" w:cs="仿宋"/>
                <w:color w:val="auto"/>
                <w:kern w:val="0"/>
                <w:sz w:val="24"/>
                <w:highlight w:val="none"/>
              </w:rPr>
            </w:pPr>
            <w:r>
              <w:t xml:space="preserve">13-15</w:t>
            </w:r>
          </w:p>
        </w:tc>
      </w:tr>
      <w:tr w14:paraId="114012A5">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1956F410">
            <w:pPr>
              <w:widowControl/>
              <w:spacing w:line="360" w:lineRule="auto"/>
              <w:jc w:val="center"/>
              <w:rPr>
                <w:rFonts w:hint="eastAsia" w:ascii="仿宋" w:hAnsi="仿宋" w:eastAsia="仿宋" w:cs="仿宋"/>
                <w:color w:val="auto"/>
                <w:kern w:val="0"/>
                <w:sz w:val="24"/>
                <w:highlight w:val="none"/>
              </w:rPr>
            </w:pPr>
            <w:r>
              <w:t xml:space="preserve">9</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3ED87BE3">
            <w:pPr>
              <w:widowControl/>
              <w:spacing w:line="360" w:lineRule="auto"/>
              <w:jc w:val="left"/>
              <w:rPr>
                <w:rFonts w:hint="eastAsia" w:ascii="仿宋" w:hAnsi="仿宋" w:eastAsia="仿宋" w:cs="仿宋"/>
                <w:color w:val="auto"/>
                <w:kern w:val="0"/>
                <w:sz w:val="24"/>
                <w:highlight w:val="none"/>
              </w:rPr>
            </w:pPr>
            <w:r>
              <w:t xml:space="preserve">数据安全与数据质量及连续性保障方案</w:t>
            </w:r>
          </w:p>
        </w:tc>
        <w:tc>
          <w:tcPr>
            <w:tcW w:w="3088" w:type="dxa"/>
            <w:tcBorders>
              <w:top w:val="outset" w:color="auto" w:sz="6" w:space="0"/>
              <w:left w:val="outset" w:color="auto" w:sz="6" w:space="0"/>
              <w:bottom w:val="outset" w:color="auto" w:sz="6" w:space="0"/>
              <w:right w:val="outset" w:color="auto" w:sz="6" w:space="0"/>
            </w:tcBorders>
            <w:noWrap w:val="0"/>
            <w:vAlign w:val="top"/>
          </w:tcPr>
          <w:p w14:paraId="0E029A01">
            <w:pPr>
              <w:widowControl/>
              <w:spacing w:line="360" w:lineRule="auto"/>
              <w:jc w:val="left"/>
              <w:rPr>
                <w:rFonts w:hint="eastAsia" w:ascii="仿宋" w:hAnsi="仿宋" w:eastAsia="仿宋" w:cs="仿宋"/>
                <w:color w:val="auto"/>
                <w:kern w:val="0"/>
                <w:sz w:val="24"/>
                <w:highlight w:val="none"/>
              </w:rPr>
            </w:pPr>
            <w:r>
              <w:t xml:space="preserve">16-19</w:t>
            </w:r>
          </w:p>
        </w:tc>
      </w:tr>
      <w:tr w14:paraId="46EE4035">
        <w:trPr>
          <w:wBefore w:w="0" w:type="dxa"/>
          <w:wAfter w:w="0" w:type="dxa"/>
          <w:tblCellSpacing w:w="0" w:type="dxa"/>
          <w:jc w:val="center"/>
        </w:trPr>
        <w:tc>
          <w:tcPr>
            <w:tcW w:w="1036" w:type="dxa"/>
            <w:tcBorders>
              <w:top w:val="outset" w:color="auto" w:sz="6" w:space="0"/>
              <w:left w:val="outset" w:color="auto" w:sz="6" w:space="0"/>
              <w:bottom w:val="outset" w:color="auto" w:sz="6" w:space="0"/>
              <w:right w:val="outset" w:color="auto" w:sz="6" w:space="0"/>
            </w:tcBorders>
            <w:noWrap w:val="0"/>
            <w:vAlign w:val="center"/>
          </w:tcPr>
          <w:p w14:paraId="0FAE64CA">
            <w:pPr>
              <w:widowControl/>
              <w:spacing w:line="360" w:lineRule="auto"/>
              <w:jc w:val="center"/>
              <w:rPr>
                <w:rFonts w:hint="eastAsia" w:ascii="仿宋" w:hAnsi="仿宋" w:eastAsia="仿宋" w:cs="仿宋"/>
                <w:color w:val="auto"/>
                <w:kern w:val="0"/>
                <w:sz w:val="27"/>
                <w:szCs w:val="27"/>
                <w:highlight w:val="none"/>
              </w:rPr>
            </w:pPr>
            <w:r>
              <w:t xml:space="preserve">10</w:t>
            </w:r>
          </w:p>
        </w:tc>
        <w:tc>
          <w:tcPr>
            <w:tcW w:w="5318" w:type="dxa"/>
            <w:tcBorders>
              <w:top w:val="outset" w:color="auto" w:sz="6" w:space="0"/>
              <w:left w:val="outset" w:color="auto" w:sz="6" w:space="0"/>
              <w:bottom w:val="outset" w:color="auto" w:sz="6" w:space="0"/>
              <w:right w:val="outset" w:color="auto" w:sz="6" w:space="0"/>
            </w:tcBorders>
            <w:noWrap w:val="0"/>
            <w:vAlign w:val="center"/>
          </w:tcPr>
          <w:p w14:paraId="4B69157D">
            <w:pPr>
              <w:widowControl/>
              <w:spacing w:line="360" w:lineRule="auto"/>
              <w:jc w:val="left"/>
              <w:rPr>
                <w:rFonts w:hint="eastAsia" w:ascii="仿宋" w:hAnsi="仿宋" w:eastAsia="仿宋" w:cs="仿宋"/>
                <w:color w:val="auto"/>
                <w:kern w:val="0"/>
                <w:sz w:val="27"/>
                <w:szCs w:val="27"/>
                <w:highlight w:val="none"/>
              </w:rPr>
            </w:pPr>
            <w:r>
              <w:t xml:space="preserve">数据更新承诺函、数据问题处置时效承诺函、数据服务响应时效承诺函（格式6-2至6-4）</w:t>
            </w:r>
          </w:p>
        </w:tc>
        <w:tc>
          <w:tcPr>
            <w:tcW w:w="3088" w:type="dxa"/>
            <w:tcBorders>
              <w:top w:val="outset" w:color="auto" w:sz="6" w:space="0"/>
              <w:left w:val="outset" w:color="auto" w:sz="6" w:space="0"/>
              <w:bottom w:val="outset" w:color="auto" w:sz="6" w:space="0"/>
              <w:right w:val="outset" w:color="auto" w:sz="6" w:space="0"/>
            </w:tcBorders>
            <w:noWrap w:val="0"/>
            <w:vAlign w:val="top"/>
          </w:tcPr>
          <w:p w14:paraId="24A5ED30">
            <w:pPr>
              <w:widowControl/>
              <w:spacing w:line="360" w:lineRule="auto"/>
              <w:jc w:val="left"/>
              <w:rPr>
                <w:rFonts w:hint="eastAsia" w:ascii="仿宋" w:hAnsi="仿宋" w:eastAsia="仿宋" w:cs="仿宋"/>
                <w:color w:val="auto"/>
                <w:kern w:val="0"/>
                <w:sz w:val="24"/>
                <w:highlight w:val="none"/>
              </w:rPr>
            </w:pPr>
            <w:r>
              <w:t xml:space="preserve">20-22</w:t>
            </w:r>
          </w:p>
        </w:tc>
      </w:tr>
    </w:tbl>
    <w:p w14:paraId="4ECAEE31">
      <w:pPr>
        <w:spacing w:line="360" w:lineRule="auto"/>
        <w:ind w:firstLine="562" w:firstLineChars="200"/>
        <w:jc w:val="center"/>
        <w:rPr>
          <w:rFonts w:hint="eastAsia" w:ascii="仿宋" w:hAnsi="仿宋" w:eastAsia="仿宋" w:cs="仿宋"/>
          <w:b/>
          <w:color w:val="auto"/>
          <w:sz w:val="28"/>
          <w:szCs w:val="28"/>
          <w:highlight w:val="none"/>
        </w:rPr>
      </w:pPr>
    </w:p>
    <w:p>
      <w:pPr>
        <w:pStyle w:val="Heading1"/>
        <w:pageBreakBefore/>
      </w:pPr>
      <w:r>
        <w:t>3 投标供应商关于响应合同签订价规则的声明函</w:t>
      </w:r>
    </w:p>
    <w:p>
      <w:pPr>
        <w:pStyle w:val="TenderBody"/>
      </w:pPr>
      <w:r>
        <w:t>致：江西省永晋招标咨询有限公司</w:t>
      </w:r>
    </w:p>
    <w:p>
      <w:pPr>
        <w:pStyle w:val="TenderBody"/>
      </w:pPr>
      <w:r>
        <w:t>杭州研数科技有限公司（验收演示）郑重声明，我公司在江西省永晋招标咨询有限公司组织的赣州银行2026年度外部数据供应商入围采购项目（项目编号及标段号：JXYJ2026-GZYH-G005-1，标段三：行业产业链、资讯与研究分析、ESG与绿色金融数据）采购中如入围，我们保证按招标文件规定的合同签订定价原则及机制签订具体数据使用协议。</w:t>
      </w:r>
    </w:p>
    <w:p>
      <w:pPr>
        <w:pStyle w:val="TenderBody"/>
      </w:pPr>
      <w:r>
        <w:t>因本服务项目的特殊性，最终结款方式为据实支付：我方接受按实际外部数据使用费用据实结算的定价机制，并在数据使用协议中按该机制明确计价方式。</w:t>
      </w:r>
    </w:p>
    <w:p>
      <w:pPr>
        <w:pStyle w:val="TenderBody"/>
      </w:pPr>
      <w:r>
        <w:t>如违反上述承诺，我公司承担由此产生的一切后果，我方对此无异议。</w:t>
      </w:r>
    </w:p>
    <w:p>
      <w:pPr>
        <w:pStyle w:val="TenderBody"/>
      </w:pPr>
      <w:r>
        <w:t>特此承诺。</w:t>
      </w:r>
    </w:p>
    <w:p>
      <w:pPr>
        <w:pStyle w:val="TenderBody"/>
      </w:pPr>
      <w:r>
        <w:t>法定代表人（经营者或负责人或自然人）（签字或盖章）：陈演示</w:t>
      </w:r>
    </w:p>
    <w:p>
      <w:pPr>
        <w:pStyle w:val="TenderBody"/>
      </w:pPr>
      <w:r>
        <w:t>投标供应商名称（公章）：杭州研数科技有限公司（验收演示）</w:t>
      </w:r>
    </w:p>
    <w:p>
      <w:pPr>
        <w:pStyle w:val="TenderBody"/>
      </w:pPr>
      <w:r>
        <w:t>2026年8月19日</w:t>
      </w:r>
    </w:p>
    <w:p>
      <w:pPr>
        <w:pStyle w:val="Heading1"/>
        <w:pageBreakBefore/>
      </w:pPr>
      <w:r>
        <w:t>4 技术规格响应/偏离表</w:t>
      </w:r>
    </w:p>
    <w:p w14:paraId="637EE732">
      <w:pPr>
        <w:pStyle w:val="4"/>
        <w:spacing w:before="0" w:after="0" w:line="560" w:lineRule="exact"/>
        <w:jc w:val="center"/>
        <w:outlineLvl w:val="9"/>
        <w:rPr>
          <w:rFonts w:hint="eastAsia" w:ascii="仿宋" w:hAnsi="仿宋" w:eastAsia="仿宋" w:cs="仿宋"/>
          <w:color w:val="auto"/>
          <w:kern w:val="0"/>
          <w:highlight w:val="none"/>
        </w:rPr>
      </w:pPr>
      <w:r>
        <w:rPr>
          <w:rFonts w:hint="eastAsia" w:ascii="仿宋" w:hAnsi="仿宋" w:eastAsia="仿宋" w:cs="仿宋"/>
          <w:color w:val="auto"/>
          <w:highlight w:val="none"/>
          <w:lang w:val="en-US" w:eastAsia="zh-CN"/>
        </w:rPr>
        <w:br w:type="page"/>
      </w:r>
      <w:r>
        <w:rPr>
          <w:rFonts w:hint="eastAsia" w:ascii="仿宋" w:hAnsi="仿宋" w:eastAsia="仿宋" w:cs="仿宋"/>
          <w:color w:val="auto"/>
          <w:kern w:val="0"/>
          <w:highlight w:val="none"/>
        </w:rPr>
        <w:t>4．技术规格响应/偏离表</w:t>
      </w:r>
    </w:p>
    <w:p>
      <w:pPr>
        <w:pStyle w:val="TenderBody"/>
        <w:rPr/>
      </w:pPr>
      <w:r>
        <w:t xml:space="preserve">（招标编号：JXYJ2026-GZYH-G005-1）</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1378"/>
        <w:gridCol w:w="1984"/>
        <w:gridCol w:w="1985"/>
        <w:gridCol w:w="1559"/>
        <w:gridCol w:w="1150"/>
      </w:tblGrid>
      <w:tr w14:paraId="65679967">
        <w:trPr>
          <w:wBefore w:w="0" w:type="dxa"/>
          <w:wAfter w:w="0" w:type="dxa"/>
          <w:trHeight w:val="1082" w:hRule="atLeast"/>
          <w:jc w:val="center"/>
        </w:trPr>
        <w:tc>
          <w:tcPr>
            <w:tcW w:w="8992" w:type="dxa"/>
            <w:gridSpan w:val="6"/>
            <w:noWrap w:val="0"/>
            <w:vAlign w:val="center"/>
          </w:tcPr>
          <w:p w14:paraId="215900F1">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b/>
                <w:bCs/>
                <w:color w:val="auto"/>
                <w:sz w:val="28"/>
                <w:szCs w:val="28"/>
                <w:highlight w:val="none"/>
              </w:rPr>
              <w:t>我公司郑重承诺，完全响应招标文件规定的所有技术规格，并按规定的主要技术参数及要求进行履约。</w:t>
            </w:r>
          </w:p>
        </w:tc>
      </w:tr>
      <w:tr w14:paraId="2EC90645">
        <w:trPr>
          <w:wBefore w:w="0" w:type="dxa"/>
          <w:wAfter w:w="0" w:type="dxa"/>
          <w:trHeight w:val="1082" w:hRule="atLeast"/>
          <w:jc w:val="center"/>
        </w:trPr>
        <w:tc>
          <w:tcPr>
            <w:tcW w:w="8992" w:type="dxa"/>
            <w:gridSpan w:val="6"/>
            <w:noWrap w:val="0"/>
            <w:vAlign w:val="center"/>
          </w:tcPr>
          <w:p w14:paraId="37587F5F">
            <w:pPr>
              <w:spacing w:line="360" w:lineRule="auto"/>
              <w:jc w:val="left"/>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说明：若响应的部分技术规格与招标文件规定的技术规格有偏离，则按下表单独列出，并标明响应情况，若完全响应，则无需填写下表。只接受正偏离（优于招标文件要求），不接受负偏离（劣于招标文件要求），负偏离则无效投标。</w:t>
            </w:r>
          </w:p>
        </w:tc>
      </w:tr>
      <w:tr w14:paraId="45D2D698">
        <w:trPr>
          <w:wBefore w:w="0" w:type="dxa"/>
          <w:wAfter w:w="0" w:type="dxa"/>
          <w:trHeight w:val="1082" w:hRule="atLeast"/>
          <w:jc w:val="center"/>
        </w:trPr>
        <w:tc>
          <w:tcPr>
            <w:tcW w:w="936" w:type="dxa"/>
            <w:noWrap w:val="0"/>
            <w:vAlign w:val="center"/>
          </w:tcPr>
          <w:p w14:paraId="0E5B7250">
            <w:pPr>
              <w:spacing w:line="360" w:lineRule="auto"/>
              <w:jc w:val="center"/>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序号</w:t>
            </w:r>
          </w:p>
        </w:tc>
        <w:tc>
          <w:tcPr>
            <w:tcW w:w="1378" w:type="dxa"/>
            <w:noWrap w:val="0"/>
            <w:vAlign w:val="center"/>
          </w:tcPr>
          <w:p w14:paraId="5B013ADE">
            <w:pPr>
              <w:spacing w:line="360" w:lineRule="auto"/>
              <w:jc w:val="center"/>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项目名称</w:t>
            </w:r>
          </w:p>
        </w:tc>
        <w:tc>
          <w:tcPr>
            <w:tcW w:w="1984" w:type="dxa"/>
            <w:noWrap w:val="0"/>
            <w:vAlign w:val="center"/>
          </w:tcPr>
          <w:p w14:paraId="00BD5E25">
            <w:pPr>
              <w:spacing w:line="360" w:lineRule="auto"/>
              <w:jc w:val="center"/>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招标文件技术规格</w:t>
            </w:r>
          </w:p>
        </w:tc>
        <w:tc>
          <w:tcPr>
            <w:tcW w:w="1985" w:type="dxa"/>
            <w:noWrap w:val="0"/>
            <w:vAlign w:val="center"/>
          </w:tcPr>
          <w:p w14:paraId="6ADD42AF">
            <w:pPr>
              <w:spacing w:line="360" w:lineRule="auto"/>
              <w:jc w:val="center"/>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投标文件技术规格</w:t>
            </w:r>
          </w:p>
        </w:tc>
        <w:tc>
          <w:tcPr>
            <w:tcW w:w="1559" w:type="dxa"/>
            <w:noWrap w:val="0"/>
            <w:vAlign w:val="center"/>
          </w:tcPr>
          <w:p w14:paraId="664DC3E6">
            <w:pPr>
              <w:spacing w:line="360" w:lineRule="auto"/>
              <w:jc w:val="center"/>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响应/偏离</w:t>
            </w:r>
          </w:p>
        </w:tc>
        <w:tc>
          <w:tcPr>
            <w:tcW w:w="1150" w:type="dxa"/>
            <w:noWrap w:val="0"/>
            <w:vAlign w:val="center"/>
          </w:tcPr>
          <w:p w14:paraId="711B87F1">
            <w:pPr>
              <w:spacing w:line="360" w:lineRule="auto"/>
              <w:jc w:val="center"/>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说明</w:t>
            </w:r>
          </w:p>
        </w:tc>
      </w:tr>
      <w:tr w14:paraId="45469D84">
        <w:trPr>
          <w:wBefore w:w="0" w:type="dxa"/>
          <w:wAfter w:w="0" w:type="dxa"/>
          <w:trHeight w:val="915" w:hRule="atLeast"/>
          <w:jc w:val="center"/>
        </w:trPr>
        <w:tc>
          <w:tcPr>
            <w:tcW w:w="936" w:type="dxa"/>
            <w:noWrap w:val="0"/>
            <w:vAlign w:val="top"/>
          </w:tcPr>
          <w:p w14:paraId="47642DCB">
            <w:pPr>
              <w:spacing w:line="360" w:lineRule="auto"/>
              <w:jc w:val="left"/>
              <w:rPr>
                <w:rFonts w:hint="eastAsia" w:ascii="仿宋" w:hAnsi="仿宋" w:eastAsia="仿宋" w:cs="仿宋"/>
                <w:color w:val="auto"/>
                <w:sz w:val="28"/>
                <w:szCs w:val="28"/>
                <w:highlight w:val="none"/>
              </w:rPr>
            </w:pPr>
            <w:r>
              <w:t xml:space="preserve">1</w:t>
            </w:r>
          </w:p>
        </w:tc>
        <w:tc>
          <w:tcPr>
            <w:tcW w:w="1378" w:type="dxa"/>
            <w:noWrap w:val="0"/>
            <w:vAlign w:val="top"/>
          </w:tcPr>
          <w:p w14:paraId="45750B32">
            <w:pPr>
              <w:spacing w:line="360" w:lineRule="auto"/>
              <w:jc w:val="left"/>
              <w:rPr>
                <w:rFonts w:hint="eastAsia" w:ascii="仿宋" w:hAnsi="仿宋" w:eastAsia="仿宋" w:cs="仿宋"/>
                <w:color w:val="auto"/>
                <w:sz w:val="28"/>
                <w:szCs w:val="28"/>
                <w:highlight w:val="none"/>
              </w:rPr>
            </w:pPr>
            <w:r>
              <w:t xml:space="preserve">赣州银行2026年度外部数据供应商入围采购项目（标段三）</w:t>
            </w:r>
          </w:p>
        </w:tc>
        <w:tc>
          <w:tcPr>
            <w:tcW w:w="1984" w:type="dxa"/>
            <w:noWrap w:val="0"/>
            <w:vAlign w:val="top"/>
          </w:tcPr>
          <w:p w14:paraId="507E18E2">
            <w:pPr>
              <w:spacing w:line="360" w:lineRule="auto"/>
              <w:jc w:val="left"/>
              <w:rPr>
                <w:rFonts w:hint="eastAsia" w:ascii="仿宋" w:hAnsi="仿宋" w:eastAsia="仿宋" w:cs="仿宋"/>
                <w:color w:val="auto"/>
                <w:sz w:val="28"/>
                <w:szCs w:val="28"/>
                <w:highlight w:val="none"/>
              </w:rPr>
            </w:pPr>
            <w:r>
              <w:t xml:space="preserve">招标文件采购项目需求及合同条款规定的全部技术规格</w:t>
            </w:r>
          </w:p>
        </w:tc>
        <w:tc>
          <w:tcPr>
            <w:tcW w:w="1985" w:type="dxa"/>
            <w:noWrap w:val="0"/>
            <w:vAlign w:val="top"/>
          </w:tcPr>
          <w:p w14:paraId="44C1F9D7">
            <w:pPr>
              <w:spacing w:line="360" w:lineRule="auto"/>
              <w:jc w:val="left"/>
              <w:rPr>
                <w:rFonts w:hint="eastAsia" w:ascii="仿宋" w:hAnsi="仿宋" w:eastAsia="仿宋" w:cs="仿宋"/>
                <w:color w:val="auto"/>
                <w:sz w:val="28"/>
                <w:szCs w:val="28"/>
                <w:highlight w:val="none"/>
              </w:rPr>
            </w:pPr>
            <w:r>
              <w:t xml:space="preserve">我方按招标文件规定的技术规格全面履约，无偏离</w:t>
            </w:r>
          </w:p>
        </w:tc>
        <w:tc>
          <w:tcPr>
            <w:tcW w:w="1559" w:type="dxa"/>
            <w:noWrap w:val="0"/>
            <w:vAlign w:val="top"/>
          </w:tcPr>
          <w:p w14:paraId="5BC910FF">
            <w:pPr>
              <w:spacing w:line="360" w:lineRule="auto"/>
              <w:jc w:val="left"/>
              <w:rPr>
                <w:rFonts w:hint="eastAsia" w:ascii="仿宋" w:hAnsi="仿宋" w:eastAsia="仿宋" w:cs="仿宋"/>
                <w:color w:val="auto"/>
                <w:sz w:val="28"/>
                <w:szCs w:val="28"/>
                <w:highlight w:val="none"/>
              </w:rPr>
            </w:pPr>
            <w:r>
              <w:t xml:space="preserve">完全响应</w:t>
            </w:r>
          </w:p>
        </w:tc>
        <w:tc>
          <w:tcPr>
            <w:tcW w:w="1150" w:type="dxa"/>
            <w:noWrap w:val="0"/>
            <w:vAlign w:val="top"/>
          </w:tcPr>
          <w:p w14:paraId="5E7D248F">
            <w:pPr>
              <w:spacing w:line="360" w:lineRule="auto"/>
              <w:jc w:val="left"/>
              <w:rPr>
                <w:rFonts w:hint="eastAsia" w:ascii="仿宋" w:hAnsi="仿宋" w:eastAsia="仿宋" w:cs="仿宋"/>
                <w:color w:val="auto"/>
                <w:sz w:val="28"/>
                <w:szCs w:val="28"/>
                <w:highlight w:val="none"/>
              </w:rPr>
            </w:pPr>
            <w:r>
              <w:t xml:space="preserve">验收演示：本行为演示填写，正式投标前按所投产品实际参数逐条复核</w:t>
            </w:r>
          </w:p>
        </w:tc>
      </w:tr>
      <w:tr w14:paraId="645811D0">
        <w:trPr>
          <w:wBefore w:w="0" w:type="dxa"/>
          <w:wAfter w:w="0" w:type="dxa"/>
          <w:trHeight w:val="1017" w:hRule="atLeast"/>
          <w:jc w:val="center"/>
        </w:trPr>
        <w:tc>
          <w:tcPr>
            <w:tcW w:w="936" w:type="dxa"/>
            <w:noWrap w:val="0"/>
            <w:vAlign w:val="top"/>
          </w:tcPr>
          <w:p w14:paraId="636EAF11">
            <w:pPr>
              <w:spacing w:line="360" w:lineRule="auto"/>
              <w:jc w:val="left"/>
              <w:rPr>
                <w:rFonts w:hint="eastAsia" w:ascii="仿宋" w:hAnsi="仿宋" w:eastAsia="仿宋" w:cs="仿宋"/>
                <w:color w:val="auto"/>
                <w:sz w:val="28"/>
                <w:szCs w:val="28"/>
                <w:highlight w:val="none"/>
              </w:rPr>
            </w:pPr>
            <w:r>
              <w:t xml:space="preserve">2</w:t>
            </w:r>
          </w:p>
        </w:tc>
        <w:tc>
          <w:tcPr>
            <w:tcW w:w="1378" w:type="dxa"/>
            <w:noWrap w:val="0"/>
            <w:vAlign w:val="top"/>
          </w:tcPr>
          <w:p w14:paraId="2195FAD5">
            <w:pPr>
              <w:spacing w:line="360" w:lineRule="auto"/>
              <w:jc w:val="left"/>
              <w:rPr>
                <w:rFonts w:hint="eastAsia" w:ascii="仿宋" w:hAnsi="仿宋" w:eastAsia="仿宋" w:cs="仿宋"/>
                <w:color w:val="auto"/>
                <w:sz w:val="28"/>
                <w:szCs w:val="28"/>
                <w:highlight w:val="none"/>
              </w:rPr>
            </w:pPr>
            <w:r>
              <w:t xml:space="preserve">本行保留备用</w:t>
            </w:r>
          </w:p>
        </w:tc>
        <w:tc>
          <w:tcPr>
            <w:tcW w:w="1984" w:type="dxa"/>
            <w:noWrap w:val="0"/>
            <w:vAlign w:val="top"/>
          </w:tcPr>
          <w:p w14:paraId="4A1EB7CE">
            <w:pPr>
              <w:spacing w:line="360" w:lineRule="auto"/>
              <w:jc w:val="left"/>
              <w:rPr>
                <w:rFonts w:hint="eastAsia" w:ascii="仿宋" w:hAnsi="仿宋" w:eastAsia="仿宋" w:cs="仿宋"/>
                <w:color w:val="auto"/>
                <w:sz w:val="28"/>
                <w:szCs w:val="28"/>
                <w:highlight w:val="none"/>
              </w:rPr>
            </w:pPr>
            <w:r>
              <w:t xml:space="preserve">（备用行，无偏离项）</w:t>
            </w:r>
          </w:p>
        </w:tc>
        <w:tc>
          <w:tcPr>
            <w:tcW w:w="1985" w:type="dxa"/>
            <w:noWrap w:val="0"/>
            <w:vAlign w:val="top"/>
          </w:tcPr>
          <w:p w14:paraId="003E8994">
            <w:pPr>
              <w:spacing w:line="360" w:lineRule="auto"/>
              <w:jc w:val="left"/>
              <w:rPr>
                <w:rFonts w:hint="eastAsia" w:ascii="仿宋" w:hAnsi="仿宋" w:eastAsia="仿宋" w:cs="仿宋"/>
                <w:color w:val="auto"/>
                <w:sz w:val="28"/>
                <w:szCs w:val="28"/>
                <w:highlight w:val="none"/>
              </w:rPr>
            </w:pPr>
            <w:r>
              <w:t xml:space="preserve">（备用行）</w:t>
            </w:r>
          </w:p>
        </w:tc>
        <w:tc>
          <w:tcPr>
            <w:tcW w:w="1559" w:type="dxa"/>
            <w:noWrap w:val="0"/>
            <w:vAlign w:val="top"/>
          </w:tcPr>
          <w:p w14:paraId="52D6C462">
            <w:pPr>
              <w:spacing w:line="360" w:lineRule="auto"/>
              <w:jc w:val="left"/>
              <w:rPr>
                <w:rFonts w:hint="eastAsia" w:ascii="仿宋" w:hAnsi="仿宋" w:eastAsia="仿宋" w:cs="仿宋"/>
                <w:color w:val="auto"/>
                <w:sz w:val="28"/>
                <w:szCs w:val="28"/>
                <w:highlight w:val="none"/>
              </w:rPr>
            </w:pPr>
            <w:r>
              <w:t xml:space="preserve">完全响应</w:t>
            </w:r>
          </w:p>
        </w:tc>
        <w:tc>
          <w:tcPr>
            <w:tcW w:w="1150" w:type="dxa"/>
            <w:noWrap w:val="0"/>
            <w:vAlign w:val="top"/>
          </w:tcPr>
          <w:p w14:paraId="258468A0">
            <w:pPr>
              <w:spacing w:line="360" w:lineRule="auto"/>
              <w:jc w:val="left"/>
              <w:rPr>
                <w:rFonts w:hint="eastAsia" w:ascii="仿宋" w:hAnsi="仿宋" w:eastAsia="仿宋" w:cs="仿宋"/>
                <w:color w:val="auto"/>
                <w:sz w:val="28"/>
                <w:szCs w:val="28"/>
                <w:highlight w:val="none"/>
              </w:rPr>
            </w:pPr>
            <w:r>
              <w:t xml:space="preserve">正式投标前如有偏离项在本行及后续行逐条填写</w:t>
            </w:r>
          </w:p>
        </w:tc>
      </w:tr>
      <w:tr w14:paraId="1FEC95C5">
        <w:trPr>
          <w:wBefore w:w="0" w:type="dxa"/>
          <w:wAfter w:w="0" w:type="dxa"/>
          <w:trHeight w:val="1017" w:hRule="atLeast"/>
          <w:jc w:val="center"/>
        </w:trPr>
        <w:tc>
          <w:tcPr>
            <w:tcW w:w="936" w:type="dxa"/>
            <w:noWrap w:val="0"/>
            <w:vAlign w:val="top"/>
          </w:tcPr>
          <w:p w14:paraId="3361C3F0">
            <w:pPr>
              <w:spacing w:line="360" w:lineRule="auto"/>
              <w:jc w:val="left"/>
              <w:rPr>
                <w:rFonts w:hint="eastAsia" w:ascii="仿宋" w:hAnsi="仿宋" w:eastAsia="仿宋" w:cs="仿宋"/>
                <w:color w:val="auto"/>
                <w:sz w:val="28"/>
                <w:szCs w:val="28"/>
                <w:highlight w:val="none"/>
              </w:rPr>
            </w:pPr>
            <w:r>
              <w:t xml:space="preserve">3</w:t>
            </w:r>
          </w:p>
        </w:tc>
        <w:tc>
          <w:tcPr>
            <w:tcW w:w="1378" w:type="dxa"/>
            <w:noWrap w:val="0"/>
            <w:vAlign w:val="top"/>
          </w:tcPr>
          <w:p w14:paraId="005EC1F2">
            <w:pPr>
              <w:spacing w:line="360" w:lineRule="auto"/>
              <w:jc w:val="left"/>
              <w:rPr>
                <w:rFonts w:hint="eastAsia" w:ascii="仿宋" w:hAnsi="仿宋" w:eastAsia="仿宋" w:cs="仿宋"/>
                <w:color w:val="auto"/>
                <w:sz w:val="28"/>
                <w:szCs w:val="28"/>
                <w:highlight w:val="none"/>
              </w:rPr>
            </w:pPr>
            <w:r>
              <w:t xml:space="preserve">本行保留备用</w:t>
            </w:r>
          </w:p>
        </w:tc>
        <w:tc>
          <w:tcPr>
            <w:tcW w:w="1984" w:type="dxa"/>
            <w:noWrap w:val="0"/>
            <w:vAlign w:val="top"/>
          </w:tcPr>
          <w:p w14:paraId="71968662">
            <w:pPr>
              <w:spacing w:line="360" w:lineRule="auto"/>
              <w:jc w:val="left"/>
              <w:rPr>
                <w:rFonts w:hint="eastAsia" w:ascii="仿宋" w:hAnsi="仿宋" w:eastAsia="仿宋" w:cs="仿宋"/>
                <w:color w:val="auto"/>
                <w:sz w:val="28"/>
                <w:szCs w:val="28"/>
                <w:highlight w:val="none"/>
              </w:rPr>
            </w:pPr>
            <w:r>
              <w:t xml:space="preserve">（备用行，无偏离项）</w:t>
            </w:r>
          </w:p>
        </w:tc>
        <w:tc>
          <w:tcPr>
            <w:tcW w:w="1985" w:type="dxa"/>
            <w:noWrap w:val="0"/>
            <w:vAlign w:val="top"/>
          </w:tcPr>
          <w:p w14:paraId="2AD5B6FF">
            <w:pPr>
              <w:spacing w:line="360" w:lineRule="auto"/>
              <w:jc w:val="left"/>
              <w:rPr>
                <w:rFonts w:hint="eastAsia" w:ascii="仿宋" w:hAnsi="仿宋" w:eastAsia="仿宋" w:cs="仿宋"/>
                <w:color w:val="auto"/>
                <w:sz w:val="28"/>
                <w:szCs w:val="28"/>
                <w:highlight w:val="none"/>
              </w:rPr>
            </w:pPr>
            <w:r>
              <w:t xml:space="preserve">（备用行）</w:t>
            </w:r>
          </w:p>
        </w:tc>
        <w:tc>
          <w:tcPr>
            <w:tcW w:w="1559" w:type="dxa"/>
            <w:noWrap w:val="0"/>
            <w:vAlign w:val="top"/>
          </w:tcPr>
          <w:p w14:paraId="0CC47A9A">
            <w:pPr>
              <w:spacing w:line="360" w:lineRule="auto"/>
              <w:jc w:val="left"/>
              <w:rPr>
                <w:rFonts w:hint="eastAsia" w:ascii="仿宋" w:hAnsi="仿宋" w:eastAsia="仿宋" w:cs="仿宋"/>
                <w:color w:val="auto"/>
                <w:sz w:val="28"/>
                <w:szCs w:val="28"/>
                <w:highlight w:val="none"/>
              </w:rPr>
            </w:pPr>
            <w:r>
              <w:t xml:space="preserve">完全响应</w:t>
            </w:r>
          </w:p>
        </w:tc>
        <w:tc>
          <w:tcPr>
            <w:tcW w:w="1150" w:type="dxa"/>
            <w:noWrap w:val="0"/>
            <w:vAlign w:val="top"/>
          </w:tcPr>
          <w:p w14:paraId="4DB4C740">
            <w:pPr>
              <w:spacing w:line="360" w:lineRule="auto"/>
              <w:jc w:val="left"/>
              <w:rPr>
                <w:rFonts w:hint="eastAsia" w:ascii="仿宋" w:hAnsi="仿宋" w:eastAsia="仿宋" w:cs="仿宋"/>
                <w:color w:val="auto"/>
                <w:sz w:val="28"/>
                <w:szCs w:val="28"/>
                <w:highlight w:val="none"/>
              </w:rPr>
            </w:pPr>
            <w:r>
              <w:t xml:space="preserve">正式投标前如有偏离项在本行逐条填写</w:t>
            </w:r>
          </w:p>
        </w:tc>
      </w:tr>
      <w:tr w14:paraId="3DD746AC">
        <w:trPr>
          <w:wBefore w:w="0" w:type="dxa"/>
          <w:wAfter w:w="0" w:type="dxa"/>
          <w:trHeight w:val="1017" w:hRule="atLeast"/>
          <w:jc w:val="center"/>
        </w:trPr>
        <w:tc>
          <w:tcPr>
            <w:tcW w:w="936" w:type="dxa"/>
            <w:noWrap w:val="0"/>
            <w:vAlign w:val="top"/>
          </w:tcPr>
          <w:p w14:paraId="78B20DE8">
            <w:pPr>
              <w:spacing w:line="360" w:lineRule="auto"/>
              <w:jc w:val="left"/>
              <w:rPr>
                <w:rFonts w:hint="eastAsia" w:ascii="仿宋" w:hAnsi="仿宋" w:eastAsia="仿宋" w:cs="仿宋"/>
                <w:color w:val="auto"/>
                <w:sz w:val="28"/>
                <w:szCs w:val="28"/>
                <w:highlight w:val="none"/>
              </w:rPr>
            </w:pPr>
            <w:r>
              <w:t xml:space="preserve">4</w:t>
            </w:r>
          </w:p>
        </w:tc>
        <w:tc>
          <w:tcPr>
            <w:tcW w:w="1378" w:type="dxa"/>
            <w:noWrap w:val="0"/>
            <w:vAlign w:val="top"/>
          </w:tcPr>
          <w:p w14:paraId="1B0DFFB0">
            <w:pPr>
              <w:spacing w:line="360" w:lineRule="auto"/>
              <w:jc w:val="left"/>
              <w:rPr>
                <w:rFonts w:hint="eastAsia" w:ascii="仿宋" w:hAnsi="仿宋" w:eastAsia="仿宋" w:cs="仿宋"/>
                <w:color w:val="auto"/>
                <w:sz w:val="28"/>
                <w:szCs w:val="28"/>
                <w:highlight w:val="none"/>
              </w:rPr>
            </w:pPr>
            <w:r>
              <w:t xml:space="preserve">本行保留备用</w:t>
            </w:r>
          </w:p>
        </w:tc>
        <w:tc>
          <w:tcPr>
            <w:tcW w:w="1984" w:type="dxa"/>
            <w:noWrap w:val="0"/>
            <w:vAlign w:val="top"/>
          </w:tcPr>
          <w:p w14:paraId="2B22B9DE">
            <w:pPr>
              <w:spacing w:line="360" w:lineRule="auto"/>
              <w:jc w:val="left"/>
              <w:rPr>
                <w:rFonts w:hint="eastAsia" w:ascii="仿宋" w:hAnsi="仿宋" w:eastAsia="仿宋" w:cs="仿宋"/>
                <w:color w:val="auto"/>
                <w:sz w:val="28"/>
                <w:szCs w:val="28"/>
                <w:highlight w:val="none"/>
              </w:rPr>
            </w:pPr>
            <w:r>
              <w:t xml:space="preserve">（备用行，无偏离项）</w:t>
            </w:r>
          </w:p>
        </w:tc>
        <w:tc>
          <w:tcPr>
            <w:tcW w:w="1985" w:type="dxa"/>
            <w:noWrap w:val="0"/>
            <w:vAlign w:val="top"/>
          </w:tcPr>
          <w:p w14:paraId="2C2AEABF">
            <w:pPr>
              <w:spacing w:line="360" w:lineRule="auto"/>
              <w:jc w:val="left"/>
              <w:rPr>
                <w:rFonts w:hint="eastAsia" w:ascii="仿宋" w:hAnsi="仿宋" w:eastAsia="仿宋" w:cs="仿宋"/>
                <w:color w:val="auto"/>
                <w:sz w:val="28"/>
                <w:szCs w:val="28"/>
                <w:highlight w:val="none"/>
              </w:rPr>
            </w:pPr>
            <w:r>
              <w:t xml:space="preserve">（备用行）</w:t>
            </w:r>
          </w:p>
        </w:tc>
        <w:tc>
          <w:tcPr>
            <w:tcW w:w="1559" w:type="dxa"/>
            <w:noWrap w:val="0"/>
            <w:vAlign w:val="top"/>
          </w:tcPr>
          <w:p w14:paraId="0A68AE54">
            <w:pPr>
              <w:spacing w:line="360" w:lineRule="auto"/>
              <w:jc w:val="left"/>
              <w:rPr>
                <w:rFonts w:hint="eastAsia" w:ascii="仿宋" w:hAnsi="仿宋" w:eastAsia="仿宋" w:cs="仿宋"/>
                <w:color w:val="auto"/>
                <w:sz w:val="28"/>
                <w:szCs w:val="28"/>
                <w:highlight w:val="none"/>
              </w:rPr>
            </w:pPr>
            <w:r>
              <w:t xml:space="preserve">完全响应</w:t>
            </w:r>
          </w:p>
        </w:tc>
        <w:tc>
          <w:tcPr>
            <w:tcW w:w="1150" w:type="dxa"/>
            <w:noWrap w:val="0"/>
            <w:vAlign w:val="top"/>
          </w:tcPr>
          <w:p w14:paraId="3F4ED219">
            <w:pPr>
              <w:spacing w:line="360" w:lineRule="auto"/>
              <w:jc w:val="left"/>
              <w:rPr>
                <w:rFonts w:hint="eastAsia" w:ascii="仿宋" w:hAnsi="仿宋" w:eastAsia="仿宋" w:cs="仿宋"/>
                <w:color w:val="auto"/>
                <w:sz w:val="28"/>
                <w:szCs w:val="28"/>
                <w:highlight w:val="none"/>
              </w:rPr>
            </w:pPr>
            <w:r>
              <w:t xml:space="preserve">正式投标前如有偏离项在本行逐条填写</w:t>
            </w:r>
          </w:p>
        </w:tc>
      </w:tr>
    </w:tbl>
    <w:p>
      <w:pPr>
        <w:pStyle w:val="TenderBody"/>
        <w:rPr/>
      </w:pPr>
      <w:r>
        <w:t xml:space="preserve">（投标供应商名称：杭州研数科技有限公司（验收演示））</w:t>
      </w:r>
    </w:p>
    <w:p>
      <w:pPr>
        <w:pStyle w:val="Normal"/>
        <w:rPr/>
      </w:pPr>
      <w:r>
        <w:t xml:space="preserve">本表为验收演示：表中数据为演示填写，正式投标前须按所投产品实际技术规格逐项复核。</w:t>
      </w:r>
    </w:p>
    <w:p>
      <w:pPr>
        <w:pStyle w:val="TenderBody"/>
        <w:rPr/>
      </w:pPr>
      <w:r>
        <w:t xml:space="preserve">验收演示：质量复核措施——本次响应涉及的全部外部数据在正式交付前执行双人复核：由数据技术对接人先逐字段完成完整性、准确性与格式一致性校验，再由专属客户经理对照招标文件技术规格独立复核一遍，</w:t>
      </w:r>
      <w:r>
        <w:t xml:space="preserve">两岗签字确认后方可交付。两名复核人须在《数据交付双人复核记录表》上逐次签收，记录交付批次、复核结论、发现差异及差异关闭结果（差异全部关闭后由双人签字关闭，未关闭差异不得交付）。复核记录留存备查，保存期限不少于合同履约期满后2年。本措施为验收演示填写，正式投标前须按所投数据产品实际情况落实复核流程，</w:t>
      </w:r>
      <w:r>
        <w:t xml:space="preserve">并补充复核岗位真实人员名单。</w:t>
      </w:r>
      <w:commentRangeStart w:id="3"/>
      <w:r/>
      <w:commentRangeEnd w:id="3"/>
      <w:r>
        <w:rPr>
          <w:rStyle w:val="CommentReference"/>
        </w:rPr>
        <w:commentReference w:id="3"/>
      </w:r>
    </w:p>
    <w:p w14:paraId="3EF243F7">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kern w:val="0"/>
          <w:sz w:val="28"/>
          <w:szCs w:val="28"/>
          <w:highlight w:val="none"/>
        </w:rPr>
        <w:t>法定代表人（经营者或自然人）</w:t>
      </w:r>
      <w:r>
        <w:rPr>
          <w:rFonts w:hint="eastAsia" w:ascii="仿宋" w:hAnsi="仿宋" w:eastAsia="仿宋" w:cs="仿宋"/>
          <w:color w:val="auto"/>
          <w:kern w:val="0"/>
          <w:sz w:val="28"/>
          <w:szCs w:val="28"/>
          <w:highlight w:val="none"/>
          <w:lang w:val="en-US" w:eastAsia="zh-CN"/>
        </w:rPr>
        <w:t>或授权代表</w:t>
      </w:r>
      <w:r>
        <w:rPr>
          <w:rFonts w:hint="eastAsia" w:ascii="仿宋" w:hAnsi="仿宋" w:eastAsia="仿宋" w:cs="仿宋"/>
          <w:color w:val="auto"/>
          <w:kern w:val="0"/>
          <w:sz w:val="28"/>
          <w:szCs w:val="28"/>
          <w:highlight w:val="none"/>
        </w:rPr>
        <w:t>（签字或盖章）</w:t>
      </w:r>
      <w:r>
        <w:rPr>
          <w:rFonts w:hint="eastAsia" w:ascii="仿宋" w:hAnsi="仿宋" w:eastAsia="仿宋" w:cs="仿宋"/>
          <w:color w:val="auto"/>
          <w:sz w:val="28"/>
          <w:szCs w:val="28"/>
          <w:highlight w:val="none"/>
        </w:rPr>
        <w:t xml:space="preserve">：                       </w:t>
      </w:r>
    </w:p>
    <w:p w14:paraId="432B04CD">
      <w:pPr>
        <w:spacing w:line="360" w:lineRule="auto"/>
        <w:jc w:val="left"/>
        <w:rPr>
          <w:rFonts w:hint="eastAsia" w:ascii="仿宋" w:hAnsi="仿宋" w:eastAsia="仿宋" w:cs="仿宋"/>
          <w:color w:val="auto"/>
          <w:sz w:val="28"/>
          <w:szCs w:val="28"/>
          <w:highlight w:val="none"/>
        </w:rPr>
      </w:pPr>
    </w:p>
    <w:p w14:paraId="76B959A0">
      <w:pPr>
        <w:spacing w:line="360" w:lineRule="auto"/>
        <w:jc w:val="left"/>
        <w:rPr>
          <w:rFonts w:hint="eastAsia" w:ascii="仿宋" w:hAnsi="仿宋" w:eastAsia="仿宋" w:cs="仿宋"/>
          <w:color w:val="auto"/>
          <w:sz w:val="28"/>
          <w:szCs w:val="28"/>
          <w:highlight w:val="none"/>
        </w:rPr>
      </w:pPr>
      <w:commentRangeStart w:id="2"/>
      <w:r>
        <w:rPr>
          <w:rFonts w:hint="eastAsia" w:ascii="仿宋" w:hAnsi="仿宋" w:eastAsia="仿宋" w:cs="仿宋"/>
          <w:color w:val="auto"/>
          <w:kern w:val="0"/>
          <w:sz w:val="28"/>
          <w:szCs w:val="28"/>
          <w:highlight w:val="none"/>
        </w:rPr>
        <w:t>投标供应商名称（公章或自然人印鉴章）</w:t>
      </w:r>
      <w:commentRangeEnd w:id="2"/>
      <w:r>
        <w:rPr>
          <w:rStyle w:val="CommentReference"/>
        </w:rPr>
        <w:commentReference w:id="2"/>
      </w:r>
    </w:p>
    <w:p>
      <w:pPr>
        <w:pStyle w:val="Heading1"/>
        <w:pageBreakBefore/>
      </w:pPr>
      <w:r>
        <w:t>5 商务条款响应/偏离表</w:t>
      </w:r>
    </w:p>
    <w:p w14:paraId="42F53BF7">
      <w:pPr>
        <w:pStyle w:val="4"/>
        <w:spacing w:before="0" w:after="0" w:line="560" w:lineRule="exact"/>
        <w:jc w:val="center"/>
        <w:outlineLvl w:val="9"/>
        <w:rPr>
          <w:rFonts w:hint="eastAsia" w:ascii="仿宋" w:hAnsi="仿宋" w:eastAsia="仿宋" w:cs="仿宋"/>
          <w:color w:val="auto"/>
          <w:kern w:val="0"/>
          <w:highlight w:val="none"/>
        </w:rPr>
      </w:pPr>
      <w:r>
        <w:rPr>
          <w:rFonts w:hint="eastAsia" w:ascii="仿宋" w:hAnsi="仿宋" w:eastAsia="仿宋" w:cs="仿宋"/>
          <w:color w:val="auto"/>
          <w:kern w:val="0"/>
          <w:highlight w:val="none"/>
        </w:rPr>
        <w:t>5．商务条款响应/偏离表</w:t>
      </w:r>
      <w:bookmarkEnd w:id="125"/>
    </w:p>
    <w:p w14:paraId="1104B4EF">
      <w:pPr>
        <w:spacing w:line="360" w:lineRule="auto"/>
        <w:ind w:firstLine="420" w:firstLineChars="200"/>
        <w:jc w:val="left"/>
        <w:rPr>
          <w:rFonts w:hint="eastAsia" w:ascii="仿宋" w:hAnsi="仿宋" w:eastAsia="仿宋" w:cs="仿宋"/>
          <w:color w:val="auto"/>
          <w:highlight w:val="none"/>
        </w:rPr>
      </w:pPr>
    </w:p>
    <w:p>
      <w:pPr>
        <w:pStyle w:val="TenderBody"/>
        <w:rPr/>
      </w:pPr>
      <w:r>
        <w:t xml:space="preserve">本表为验收演示：表中数据为演示填写，正式投标前须按正式商务条款逐项复核。</w:t>
      </w:r>
    </w:p>
    <w:p w14:paraId="631325BB">
      <w:pPr>
        <w:spacing w:line="360" w:lineRule="auto"/>
        <w:ind w:firstLine="560" w:firstLineChars="200"/>
        <w:jc w:val="left"/>
        <w:rPr>
          <w:rFonts w:hint="eastAsia" w:ascii="仿宋" w:hAnsi="仿宋" w:eastAsia="仿宋" w:cs="仿宋"/>
          <w:color w:val="auto"/>
          <w:sz w:val="28"/>
          <w:szCs w:val="28"/>
          <w:highlight w:val="none"/>
          <w:u w:val="single"/>
        </w:rPr>
      </w:pPr>
      <w:r>
        <w:rPr>
          <w:rFonts w:hint="eastAsia" w:ascii="仿宋" w:hAnsi="仿宋" w:eastAsia="仿宋" w:cs="仿宋"/>
          <w:color w:val="auto"/>
          <w:sz w:val="28"/>
          <w:szCs w:val="28"/>
          <w:highlight w:val="none"/>
        </w:rPr>
        <w:t xml:space="preserve">投标供应商名称：杭州研数科技有限公司（验收演示）</w:t>
      </w:r>
      <w:r>
        <w:rPr>
          <w:rFonts w:hint="eastAsia" w:ascii="仿宋" w:hAnsi="仿宋" w:eastAsia="仿宋" w:cs="仿宋"/>
          <w:color w:val="auto"/>
          <w:sz w:val="28"/>
          <w:szCs w:val="28"/>
          <w:highlight w:val="none"/>
          <w:u w:val="single"/>
        </w:rPr>
        <w:t xml:space="preserve">               </w:t>
      </w:r>
    </w:p>
    <w:p w14:paraId="4220692C">
      <w:pPr>
        <w:spacing w:line="360" w:lineRule="auto"/>
        <w:ind w:firstLine="560" w:firstLineChars="200"/>
        <w:jc w:val="left"/>
        <w:rPr>
          <w:rFonts w:hint="eastAsia" w:ascii="仿宋" w:hAnsi="仿宋" w:eastAsia="仿宋" w:cs="仿宋"/>
          <w:color w:val="auto"/>
          <w:sz w:val="28"/>
          <w:szCs w:val="28"/>
          <w:highlight w:val="none"/>
          <w:u w:val="single"/>
        </w:rPr>
      </w:pPr>
      <w:r>
        <w:rPr>
          <w:rFonts w:hint="eastAsia" w:ascii="仿宋" w:hAnsi="仿宋" w:eastAsia="仿宋" w:cs="仿宋"/>
          <w:color w:val="auto"/>
          <w:sz w:val="28"/>
          <w:szCs w:val="28"/>
          <w:highlight w:val="none"/>
        </w:rPr>
        <w:t xml:space="preserve">招标编号：JXYJ2026-GZYH-G005-1</w:t>
      </w:r>
      <w:r>
        <w:rPr>
          <w:rFonts w:hint="eastAsia" w:ascii="仿宋" w:hAnsi="仿宋" w:eastAsia="仿宋" w:cs="仿宋"/>
          <w:color w:val="auto"/>
          <w:sz w:val="28"/>
          <w:szCs w:val="28"/>
          <w:highlight w:val="none"/>
          <w:u w:val="single"/>
        </w:rPr>
        <w:t xml:space="preserve">                 </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4"/>
        <w:gridCol w:w="2826"/>
        <w:gridCol w:w="2826"/>
        <w:gridCol w:w="1560"/>
        <w:gridCol w:w="900"/>
      </w:tblGrid>
      <w:tr w14:paraId="024B5203">
        <w:trPr>
          <w:wBefore w:w="0" w:type="dxa"/>
          <w:wAfter w:w="0" w:type="dxa"/>
          <w:trHeight w:val="988" w:hRule="atLeast"/>
          <w:jc w:val="center"/>
        </w:trPr>
        <w:tc>
          <w:tcPr>
            <w:tcW w:w="8946" w:type="dxa"/>
            <w:gridSpan w:val="5"/>
            <w:noWrap w:val="0"/>
            <w:vAlign w:val="center"/>
          </w:tcPr>
          <w:p w14:paraId="6B113ED1">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b/>
                <w:bCs/>
                <w:color w:val="auto"/>
                <w:sz w:val="28"/>
                <w:szCs w:val="28"/>
                <w:highlight w:val="none"/>
              </w:rPr>
              <w:t>我公司郑重承诺，完全响应招标文件规定的所有商务条款，并按规定的商务条款进行履约。</w:t>
            </w:r>
          </w:p>
        </w:tc>
      </w:tr>
      <w:tr w14:paraId="54797A30">
        <w:trPr>
          <w:wBefore w:w="0" w:type="dxa"/>
          <w:wAfter w:w="0" w:type="dxa"/>
          <w:trHeight w:val="988" w:hRule="atLeast"/>
          <w:jc w:val="center"/>
        </w:trPr>
        <w:tc>
          <w:tcPr>
            <w:tcW w:w="8946" w:type="dxa"/>
            <w:gridSpan w:val="5"/>
            <w:noWrap w:val="0"/>
            <w:vAlign w:val="center"/>
          </w:tcPr>
          <w:p w14:paraId="76C741C1">
            <w:pPr>
              <w:spacing w:line="360" w:lineRule="auto"/>
              <w:jc w:val="left"/>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说明：若响应的部分商务条款与招标文件规定的商务条款有偏离，则按下表单独列出，并标明响应情况，若完全响应，则无需填写下表。只接受正偏离（优于招标文件要求），不接受负偏离（劣于招标文件要求），负偏离则无效投标。</w:t>
            </w:r>
          </w:p>
        </w:tc>
      </w:tr>
      <w:tr w14:paraId="70747ADA">
        <w:trPr>
          <w:wBefore w:w="0" w:type="dxa"/>
          <w:wAfter w:w="0" w:type="dxa"/>
          <w:trHeight w:val="1089" w:hRule="atLeast"/>
          <w:jc w:val="center"/>
        </w:trPr>
        <w:tc>
          <w:tcPr>
            <w:tcW w:w="834" w:type="dxa"/>
            <w:noWrap w:val="0"/>
            <w:vAlign w:val="center"/>
          </w:tcPr>
          <w:p w14:paraId="18D59545">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序号</w:t>
            </w:r>
          </w:p>
        </w:tc>
        <w:tc>
          <w:tcPr>
            <w:tcW w:w="2826" w:type="dxa"/>
            <w:noWrap w:val="0"/>
            <w:vAlign w:val="center"/>
          </w:tcPr>
          <w:p w14:paraId="4131503A">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招标文件的商务条款</w:t>
            </w:r>
          </w:p>
        </w:tc>
        <w:tc>
          <w:tcPr>
            <w:tcW w:w="2826" w:type="dxa"/>
            <w:noWrap w:val="0"/>
            <w:vAlign w:val="center"/>
          </w:tcPr>
          <w:p w14:paraId="251DCE7B">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投标文件的商务条款</w:t>
            </w:r>
          </w:p>
        </w:tc>
        <w:tc>
          <w:tcPr>
            <w:tcW w:w="1560" w:type="dxa"/>
            <w:noWrap w:val="0"/>
            <w:vAlign w:val="center"/>
          </w:tcPr>
          <w:p w14:paraId="4391A324">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响应/偏离</w:t>
            </w:r>
          </w:p>
        </w:tc>
        <w:tc>
          <w:tcPr>
            <w:tcW w:w="900" w:type="dxa"/>
            <w:noWrap w:val="0"/>
            <w:vAlign w:val="center"/>
          </w:tcPr>
          <w:p w14:paraId="12ED0244">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说明</w:t>
            </w:r>
          </w:p>
        </w:tc>
      </w:tr>
      <w:tr w14:paraId="348AB5F2">
        <w:trPr>
          <w:wBefore w:w="0" w:type="dxa"/>
          <w:wAfter w:w="0" w:type="dxa"/>
          <w:trHeight w:val="1089" w:hRule="atLeast"/>
          <w:jc w:val="center"/>
        </w:trPr>
        <w:tc>
          <w:tcPr>
            <w:tcW w:w="834" w:type="dxa"/>
            <w:noWrap w:val="0"/>
            <w:vAlign w:val="top"/>
          </w:tcPr>
          <w:p w14:paraId="06983200">
            <w:pPr>
              <w:spacing w:line="360" w:lineRule="auto"/>
              <w:jc w:val="left"/>
              <w:rPr>
                <w:rFonts w:hint="eastAsia" w:ascii="仿宋" w:hAnsi="仿宋" w:eastAsia="仿宋" w:cs="仿宋"/>
                <w:color w:val="auto"/>
                <w:sz w:val="28"/>
                <w:szCs w:val="28"/>
                <w:highlight w:val="none"/>
              </w:rPr>
            </w:pPr>
            <w:r>
              <w:t xml:space="preserve">1</w:t>
            </w:r>
          </w:p>
        </w:tc>
        <w:tc>
          <w:tcPr>
            <w:tcW w:w="2826" w:type="dxa"/>
            <w:noWrap w:val="0"/>
            <w:vAlign w:val="top"/>
          </w:tcPr>
          <w:p w14:paraId="467DDAA6">
            <w:pPr>
              <w:spacing w:line="360" w:lineRule="auto"/>
              <w:jc w:val="left"/>
              <w:rPr>
                <w:rFonts w:hint="eastAsia" w:ascii="仿宋" w:hAnsi="仿宋" w:eastAsia="仿宋" w:cs="仿宋"/>
                <w:color w:val="auto"/>
                <w:sz w:val="28"/>
                <w:szCs w:val="28"/>
                <w:highlight w:val="none"/>
              </w:rPr>
            </w:pPr>
            <w:r>
              <w:t xml:space="preserve">服务期限：1年；服务地点：采购人指定地点；按月对账，按季或按年结算付款；收到增值税专用发票后15个工作日内转账</w:t>
            </w:r>
          </w:p>
        </w:tc>
        <w:tc>
          <w:tcPr>
            <w:tcW w:w="2826" w:type="dxa"/>
            <w:noWrap w:val="0"/>
            <w:vAlign w:val="top"/>
          </w:tcPr>
          <w:p w14:paraId="34215F05">
            <w:pPr>
              <w:spacing w:line="360" w:lineRule="auto"/>
              <w:jc w:val="left"/>
              <w:rPr>
                <w:rFonts w:hint="eastAsia" w:ascii="仿宋" w:hAnsi="仿宋" w:eastAsia="仿宋" w:cs="仿宋"/>
                <w:color w:val="auto"/>
                <w:sz w:val="28"/>
                <w:szCs w:val="28"/>
                <w:highlight w:val="none"/>
              </w:rPr>
            </w:pPr>
            <w:r>
              <w:t xml:space="preserve">按招标文件商务要求全部执行，无偏离</w:t>
            </w:r>
          </w:p>
        </w:tc>
        <w:tc>
          <w:tcPr>
            <w:tcW w:w="1560" w:type="dxa"/>
            <w:noWrap w:val="0"/>
            <w:vAlign w:val="top"/>
          </w:tcPr>
          <w:p w14:paraId="31751D42">
            <w:pPr>
              <w:spacing w:line="360" w:lineRule="auto"/>
              <w:jc w:val="left"/>
              <w:rPr>
                <w:rFonts w:hint="eastAsia" w:ascii="仿宋" w:hAnsi="仿宋" w:eastAsia="仿宋" w:cs="仿宋"/>
                <w:color w:val="auto"/>
                <w:sz w:val="28"/>
                <w:szCs w:val="28"/>
                <w:highlight w:val="none"/>
              </w:rPr>
            </w:pPr>
            <w:r>
              <w:t xml:space="preserve">完全响应</w:t>
            </w:r>
          </w:p>
        </w:tc>
        <w:tc>
          <w:tcPr>
            <w:tcW w:w="900" w:type="dxa"/>
            <w:noWrap w:val="0"/>
            <w:vAlign w:val="top"/>
          </w:tcPr>
          <w:p w14:paraId="738A5F80">
            <w:pPr>
              <w:spacing w:line="360" w:lineRule="auto"/>
              <w:jc w:val="left"/>
              <w:rPr>
                <w:rFonts w:hint="eastAsia" w:ascii="仿宋" w:hAnsi="仿宋" w:eastAsia="仿宋" w:cs="仿宋"/>
                <w:color w:val="auto"/>
                <w:sz w:val="28"/>
                <w:szCs w:val="28"/>
                <w:highlight w:val="none"/>
              </w:rPr>
            </w:pPr>
            <w:r>
              <w:t xml:space="preserve">验收演示：本行为演示填写，正式投标前按正式报价口径复核</w:t>
            </w:r>
          </w:p>
        </w:tc>
      </w:tr>
      <w:tr w14:paraId="7D5EA210">
        <w:trPr>
          <w:wBefore w:w="0" w:type="dxa"/>
          <w:wAfter w:w="0" w:type="dxa"/>
          <w:trHeight w:val="1089" w:hRule="atLeast"/>
          <w:jc w:val="center"/>
        </w:trPr>
        <w:tc>
          <w:tcPr>
            <w:tcW w:w="834" w:type="dxa"/>
            <w:noWrap w:val="0"/>
            <w:vAlign w:val="top"/>
          </w:tcPr>
          <w:p w14:paraId="6A36AEBE">
            <w:pPr>
              <w:spacing w:line="360" w:lineRule="auto"/>
              <w:jc w:val="left"/>
              <w:rPr>
                <w:rFonts w:hint="eastAsia" w:ascii="仿宋" w:hAnsi="仿宋" w:eastAsia="仿宋" w:cs="仿宋"/>
                <w:color w:val="auto"/>
                <w:sz w:val="28"/>
                <w:szCs w:val="28"/>
                <w:highlight w:val="none"/>
              </w:rPr>
            </w:pPr>
            <w:r>
              <w:t xml:space="preserve">2</w:t>
            </w:r>
          </w:p>
        </w:tc>
        <w:tc>
          <w:tcPr>
            <w:tcW w:w="2826" w:type="dxa"/>
            <w:noWrap w:val="0"/>
            <w:vAlign w:val="top"/>
          </w:tcPr>
          <w:p w14:paraId="22EF762E">
            <w:pPr>
              <w:spacing w:line="360" w:lineRule="auto"/>
              <w:jc w:val="left"/>
              <w:rPr>
                <w:rFonts w:hint="eastAsia" w:ascii="仿宋" w:hAnsi="仿宋" w:eastAsia="仿宋" w:cs="仿宋"/>
                <w:color w:val="auto"/>
                <w:sz w:val="28"/>
                <w:szCs w:val="28"/>
                <w:highlight w:val="none"/>
              </w:rPr>
            </w:pPr>
            <w:r>
              <w:t xml:space="preserve">本行保留备用</w:t>
            </w:r>
          </w:p>
        </w:tc>
        <w:tc>
          <w:tcPr>
            <w:tcW w:w="2826" w:type="dxa"/>
            <w:noWrap w:val="0"/>
            <w:vAlign w:val="top"/>
          </w:tcPr>
          <w:p w14:paraId="1B5E6EC3">
            <w:pPr>
              <w:spacing w:line="360" w:lineRule="auto"/>
              <w:jc w:val="left"/>
              <w:rPr>
                <w:rFonts w:hint="eastAsia" w:ascii="仿宋" w:hAnsi="仿宋" w:eastAsia="仿宋" w:cs="仿宋"/>
                <w:color w:val="auto"/>
                <w:sz w:val="28"/>
                <w:szCs w:val="28"/>
                <w:highlight w:val="none"/>
              </w:rPr>
            </w:pPr>
            <w:r>
              <w:t xml:space="preserve">（备用行，无偏离项）</w:t>
            </w:r>
          </w:p>
        </w:tc>
        <w:tc>
          <w:tcPr>
            <w:tcW w:w="1560" w:type="dxa"/>
            <w:noWrap w:val="0"/>
            <w:vAlign w:val="top"/>
          </w:tcPr>
          <w:p w14:paraId="27936DFF">
            <w:pPr>
              <w:spacing w:line="360" w:lineRule="auto"/>
              <w:jc w:val="left"/>
              <w:rPr>
                <w:rFonts w:hint="eastAsia" w:ascii="仿宋" w:hAnsi="仿宋" w:eastAsia="仿宋" w:cs="仿宋"/>
                <w:color w:val="auto"/>
                <w:sz w:val="28"/>
                <w:szCs w:val="28"/>
                <w:highlight w:val="none"/>
              </w:rPr>
            </w:pPr>
            <w:r>
              <w:t xml:space="preserve">完全响应</w:t>
            </w:r>
          </w:p>
        </w:tc>
        <w:tc>
          <w:tcPr>
            <w:tcW w:w="900" w:type="dxa"/>
            <w:noWrap w:val="0"/>
            <w:vAlign w:val="top"/>
          </w:tcPr>
          <w:p w14:paraId="40F4D89C">
            <w:pPr>
              <w:spacing w:line="360" w:lineRule="auto"/>
              <w:jc w:val="left"/>
              <w:rPr>
                <w:rFonts w:hint="eastAsia" w:ascii="仿宋" w:hAnsi="仿宋" w:eastAsia="仿宋" w:cs="仿宋"/>
                <w:color w:val="auto"/>
                <w:sz w:val="28"/>
                <w:szCs w:val="28"/>
                <w:highlight w:val="none"/>
              </w:rPr>
            </w:pPr>
            <w:r>
              <w:t xml:space="preserve">正式投标前如有偏离项在本行填写</w:t>
            </w:r>
          </w:p>
        </w:tc>
      </w:tr>
    </w:tbl>
    <w:p w14:paraId="6574A4F7">
      <w:pPr>
        <w:spacing w:line="360" w:lineRule="auto"/>
        <w:ind w:firstLine="420" w:firstLineChars="150"/>
        <w:jc w:val="left"/>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法定代表人（经营者或自然人）</w:t>
      </w:r>
      <w:r>
        <w:rPr>
          <w:rFonts w:hint="eastAsia" w:ascii="仿宋" w:hAnsi="仿宋" w:eastAsia="仿宋" w:cs="仿宋"/>
          <w:color w:val="auto"/>
          <w:kern w:val="0"/>
          <w:sz w:val="28"/>
          <w:szCs w:val="28"/>
          <w:highlight w:val="none"/>
          <w:lang w:val="en-US" w:eastAsia="zh-CN"/>
        </w:rPr>
        <w:t>或授权代表</w:t>
      </w:r>
      <w:r>
        <w:rPr>
          <w:rFonts w:hint="eastAsia" w:ascii="仿宋" w:hAnsi="仿宋" w:eastAsia="仿宋" w:cs="仿宋"/>
          <w:color w:val="auto"/>
          <w:kern w:val="0"/>
          <w:sz w:val="28"/>
          <w:szCs w:val="28"/>
          <w:highlight w:val="none"/>
        </w:rPr>
        <w:t>（签字或盖章）：</w:t>
      </w:r>
    </w:p>
    <w:p w14:paraId="613A38A0">
      <w:pPr>
        <w:spacing w:line="360" w:lineRule="auto"/>
        <w:ind w:firstLine="540" w:firstLineChars="200"/>
        <w:jc w:val="left"/>
        <w:rPr>
          <w:rFonts w:hint="eastAsia" w:ascii="仿宋" w:hAnsi="仿宋" w:eastAsia="仿宋" w:cs="仿宋"/>
          <w:bCs/>
          <w:color w:val="auto"/>
          <w:kern w:val="0"/>
          <w:sz w:val="27"/>
          <w:szCs w:val="27"/>
          <w:highlight w:val="none"/>
          <w:u w:val="single"/>
        </w:rPr>
      </w:pPr>
    </w:p>
    <w:p w14:paraId="26BF2928">
      <w:pPr>
        <w:spacing w:line="360" w:lineRule="auto"/>
        <w:ind w:firstLine="420" w:firstLineChars="150"/>
        <w:jc w:val="left"/>
        <w:rPr>
          <w:rFonts w:hint="eastAsia" w:ascii="仿宋" w:hAnsi="仿宋" w:eastAsia="仿宋" w:cs="仿宋"/>
          <w:color w:val="auto"/>
          <w:kern w:val="0"/>
          <w:sz w:val="28"/>
          <w:szCs w:val="28"/>
          <w:highlight w:val="none"/>
        </w:rPr>
      </w:pPr>
      <w:commentRangeStart w:id="4"/>
      <w:r>
        <w:rPr>
          <w:rFonts w:hint="eastAsia" w:ascii="仿宋" w:hAnsi="仿宋" w:eastAsia="仿宋" w:cs="仿宋"/>
          <w:color w:val="auto"/>
          <w:kern w:val="0"/>
          <w:sz w:val="28"/>
          <w:szCs w:val="28"/>
          <w:highlight w:val="none"/>
        </w:rPr>
        <w:t>投标供应商名称（公章或自然人印鉴章）</w:t>
      </w:r>
      <w:commentRangeEnd w:id="4"/>
      <w:r>
        <w:rPr>
          <w:rStyle w:val="CommentReference"/>
        </w:rPr>
        <w:commentReference w:id="4"/>
      </w:r>
    </w:p>
    <w:p w14:paraId="360D1316">
      <w:pPr>
        <w:spacing w:line="360" w:lineRule="auto"/>
        <w:ind w:firstLine="540" w:firstLineChars="200"/>
        <w:jc w:val="left"/>
        <w:rPr>
          <w:rFonts w:hint="eastAsia" w:ascii="仿宋" w:hAnsi="仿宋" w:eastAsia="仿宋" w:cs="仿宋"/>
          <w:bCs/>
          <w:color w:val="auto"/>
          <w:kern w:val="0"/>
          <w:sz w:val="27"/>
          <w:szCs w:val="27"/>
          <w:highlight w:val="none"/>
          <w:u w:val="single"/>
        </w:rPr>
      </w:pPr>
    </w:p>
    <w:p w14:paraId="14042788">
      <w:pPr>
        <w:spacing w:line="360" w:lineRule="auto"/>
        <w:ind w:firstLine="540" w:firstLineChars="200"/>
        <w:jc w:val="left"/>
        <w:rPr>
          <w:rFonts w:hint="eastAsia" w:ascii="仿宋" w:hAnsi="仿宋" w:eastAsia="仿宋" w:cs="仿宋"/>
          <w:bCs/>
          <w:color w:val="auto"/>
          <w:kern w:val="0"/>
          <w:sz w:val="27"/>
          <w:szCs w:val="27"/>
          <w:highlight w:val="none"/>
          <w:u w:val="single"/>
        </w:rPr>
      </w:pPr>
    </w:p>
    <w:p>
      <w:pPr>
        <w:pStyle w:val="Heading1"/>
        <w:pageBreakBefore/>
      </w:pPr>
      <w:r>
        <w:t>6 技术文件</w:t>
      </w:r>
    </w:p>
    <w:p>
      <w:pPr>
        <w:pStyle w:val="Heading2"/>
      </w:pPr>
      <w:r>
        <w:t>6.1 外部数据采购实施案例清单（格式6-1）</w:t>
      </w:r>
    </w:p>
    <w:tbl>
      <w:tblPr>
        <w:tblStyle w:val="4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270"/>
        <w:gridCol w:w="4691"/>
        <w:gridCol w:w="3869"/>
      </w:tblGrid>
      <w:tr w14:paraId="0F08D063">
        <w:trPr>
          <w:trHeight w:val="286" w:hRule="atLeast"/>
        </w:trPr>
        <w:tc>
          <w:tcPr>
            <w:tcW w:w="9830" w:type="dxa"/>
            <w:gridSpan w:val="3"/>
            <w:tcBorders>
              <w:top w:val="single" w:color="000000" w:sz="4" w:space="0"/>
              <w:left w:val="single" w:color="000000" w:sz="4" w:space="0"/>
              <w:bottom w:val="single" w:color="000000" w:sz="4" w:space="0"/>
              <w:right w:val="single" w:color="000000" w:sz="4" w:space="0"/>
            </w:tcBorders>
            <w:noWrap w:val="0"/>
            <w:vAlign w:val="center"/>
          </w:tcPr>
          <w:p w14:paraId="3908AE9F">
            <w:pPr>
              <w:keepNext w:val="0"/>
              <w:keepLines w:val="0"/>
              <w:widowControl/>
              <w:suppressLineNumbers w:val="0"/>
              <w:jc w:val="center"/>
              <w:textAlignment w:val="center"/>
              <w:rPr>
                <w:rFonts w:hint="eastAsia" w:ascii="仿宋" w:hAnsi="仿宋" w:eastAsia="仿宋" w:cs="仿宋"/>
                <w:b/>
                <w:bCs/>
                <w:i w:val="0"/>
                <w:color w:val="000000"/>
                <w:kern w:val="0"/>
                <w:sz w:val="22"/>
                <w:szCs w:val="22"/>
                <w:highlight w:val="none"/>
                <w:u w:val="none"/>
                <w:lang w:val="en-US" w:eastAsia="zh-CN" w:bidi="ar"/>
              </w:rPr>
            </w:pPr>
            <w:r>
              <w:rPr>
                <w:rFonts w:hint="eastAsia" w:ascii="仿宋" w:hAnsi="仿宋" w:eastAsia="仿宋" w:cs="仿宋"/>
                <w:b/>
                <w:bCs/>
                <w:i w:val="0"/>
                <w:color w:val="000000"/>
                <w:kern w:val="0"/>
                <w:sz w:val="22"/>
                <w:szCs w:val="22"/>
                <w:highlight w:val="none"/>
                <w:u w:val="none"/>
                <w:lang w:val="en-US" w:eastAsia="zh-CN" w:bidi="ar"/>
              </w:rPr>
              <w:t>外部数据合同关键字</w:t>
            </w:r>
          </w:p>
        </w:tc>
      </w:tr>
      <w:tr w14:paraId="1FB05F88">
        <w:trPr>
          <w:trHeight w:val="286" w:hRule="atLeast"/>
        </w:trPr>
        <w:tc>
          <w:tcPr>
            <w:tcW w:w="1270" w:type="dxa"/>
            <w:tcBorders>
              <w:top w:val="single" w:color="000000" w:sz="4" w:space="0"/>
              <w:left w:val="single" w:color="000000" w:sz="4" w:space="0"/>
              <w:bottom w:val="single" w:color="000000" w:sz="4" w:space="0"/>
              <w:right w:val="single" w:color="000000" w:sz="4" w:space="0"/>
            </w:tcBorders>
            <w:noWrap w:val="0"/>
            <w:vAlign w:val="center"/>
          </w:tcPr>
          <w:p w14:paraId="4209910A">
            <w:pPr>
              <w:keepNext w:val="0"/>
              <w:keepLines w:val="0"/>
              <w:widowControl/>
              <w:suppressLineNumbers w:val="0"/>
              <w:jc w:val="center"/>
              <w:textAlignment w:val="center"/>
              <w:rPr>
                <w:rFonts w:hint="eastAsia" w:ascii="仿宋" w:hAnsi="仿宋" w:eastAsia="仿宋" w:cs="仿宋"/>
                <w:b/>
                <w:bCs/>
                <w:i w:val="0"/>
                <w:color w:val="000000"/>
                <w:sz w:val="22"/>
                <w:szCs w:val="22"/>
                <w:highlight w:val="none"/>
                <w:u w:val="none"/>
              </w:rPr>
            </w:pPr>
            <w:r>
              <w:rPr>
                <w:rFonts w:hint="eastAsia" w:ascii="仿宋" w:hAnsi="仿宋" w:eastAsia="仿宋" w:cs="仿宋"/>
                <w:b/>
                <w:bCs/>
                <w:i w:val="0"/>
                <w:color w:val="000000"/>
                <w:kern w:val="0"/>
                <w:sz w:val="22"/>
                <w:szCs w:val="22"/>
                <w:highlight w:val="none"/>
                <w:u w:val="none"/>
                <w:lang w:val="en-US" w:eastAsia="zh-CN" w:bidi="ar"/>
              </w:rPr>
              <w:t>数据类型</w:t>
            </w: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11303FBB">
            <w:pPr>
              <w:keepNext w:val="0"/>
              <w:keepLines w:val="0"/>
              <w:widowControl/>
              <w:suppressLineNumbers w:val="0"/>
              <w:jc w:val="center"/>
              <w:textAlignment w:val="center"/>
              <w:rPr>
                <w:rFonts w:hint="eastAsia" w:ascii="仿宋" w:hAnsi="仿宋" w:eastAsia="仿宋" w:cs="仿宋"/>
                <w:b/>
                <w:bCs/>
                <w:i w:val="0"/>
                <w:color w:val="000000"/>
                <w:sz w:val="22"/>
                <w:szCs w:val="22"/>
                <w:highlight w:val="none"/>
                <w:u w:val="none"/>
              </w:rPr>
            </w:pPr>
            <w:r>
              <w:rPr>
                <w:rFonts w:hint="eastAsia" w:ascii="仿宋" w:hAnsi="仿宋" w:eastAsia="仿宋" w:cs="仿宋"/>
                <w:b/>
                <w:bCs/>
                <w:i w:val="0"/>
                <w:color w:val="000000"/>
                <w:kern w:val="0"/>
                <w:sz w:val="22"/>
                <w:szCs w:val="22"/>
                <w:highlight w:val="none"/>
                <w:u w:val="none"/>
                <w:lang w:val="en-US" w:eastAsia="zh-CN" w:bidi="ar"/>
              </w:rPr>
              <w:t>数据细类</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5C71970E">
            <w:pPr>
              <w:keepNext w:val="0"/>
              <w:keepLines w:val="0"/>
              <w:widowControl/>
              <w:suppressLineNumbers w:val="0"/>
              <w:jc w:val="center"/>
              <w:textAlignment w:val="center"/>
              <w:rPr>
                <w:rFonts w:hint="eastAsia" w:ascii="仿宋" w:hAnsi="仿宋" w:eastAsia="仿宋" w:cs="仿宋"/>
                <w:b/>
                <w:bCs/>
                <w:i w:val="0"/>
                <w:color w:val="000000"/>
                <w:kern w:val="0"/>
                <w:sz w:val="22"/>
                <w:szCs w:val="22"/>
                <w:highlight w:val="none"/>
                <w:u w:val="none"/>
                <w:lang w:val="en-US" w:eastAsia="zh-CN" w:bidi="ar"/>
              </w:rPr>
            </w:pPr>
            <w:r>
              <w:rPr>
                <w:rFonts w:hint="eastAsia" w:ascii="仿宋" w:hAnsi="仿宋" w:eastAsia="仿宋" w:cs="仿宋"/>
                <w:b/>
                <w:bCs/>
                <w:i w:val="0"/>
                <w:color w:val="000000"/>
                <w:kern w:val="0"/>
                <w:sz w:val="22"/>
                <w:szCs w:val="22"/>
                <w:highlight w:val="none"/>
                <w:u w:val="none"/>
                <w:lang w:val="en-US" w:eastAsia="zh-CN" w:bidi="ar"/>
              </w:rPr>
              <w:t>案例名称</w:t>
            </w:r>
          </w:p>
        </w:tc>
      </w:tr>
      <w:tr w14:paraId="07DB99EE">
        <w:trPr>
          <w:trHeight w:val="286" w:hRule="atLeast"/>
        </w:trPr>
        <w:tc>
          <w:tcPr>
            <w:tcW w:w="1270" w:type="dxa"/>
            <w:vMerge w:val="restart"/>
            <w:tcBorders>
              <w:top w:val="single" w:color="000000" w:sz="4" w:space="0"/>
              <w:left w:val="single" w:color="000000" w:sz="4" w:space="0"/>
              <w:bottom w:val="single" w:color="000000" w:sz="4" w:space="0"/>
              <w:right w:val="single" w:color="000000" w:sz="4" w:space="0"/>
            </w:tcBorders>
            <w:noWrap w:val="0"/>
            <w:vAlign w:val="center"/>
          </w:tcPr>
          <w:p w14:paraId="4E5834EF">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3-行业产业链、资讯与研究分析、ESG与绿色金融数据</w:t>
            </w: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01AC50B4">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3-1 行业</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407A7781">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189B5E28">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87DB989">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076DCF97">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3-2 产业</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15F198DA">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7F7C0A40">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1F4BF8F6">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3ECDC8B9">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3-3 供应链</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541A70A1">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41DCE0C3">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DA7291">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22DE6335">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3-4 经济</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7CCFEED0">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064CB1FE">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75F82C3">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445951E2">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3-5 金融</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6A98598C">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r>
              <w:t xml:space="preserve">某商业银行产业链数据采购服务（验收演示，正式投标前补合同复印件）</w:t>
            </w:r>
          </w:p>
        </w:tc>
      </w:tr>
      <w:tr w14:paraId="1DBD3FA0">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DC913F0">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1209A668">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3-6 市场</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15E22E54">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3D234F42">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38BCA47A">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71204B0F">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3-7 绿色</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0910851F">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0FB9A9B8">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ABAFDFA">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2AF51110">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3-8 票据</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721395D7">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2825A3E5">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D0F880D">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29BCA2A9">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3-9 基金</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3480A84B">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744C8392">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7C18AEC5">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51644030">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3-10 环境</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18319244">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174190DB">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C76956">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6866FDB6">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3-11 社会</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6928ED13">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22709417">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C91D2C6">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275F4C64">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3-12 治理</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6B362772">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2EDD40DC">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2C726F1C">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1454F5B9">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3-13 资讯</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619C0DA8">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r>
              <w:t xml:space="preserve">某商业银行资讯数据订阅服务（验收演示，正式投标前补合同复印件）</w:t>
            </w:r>
          </w:p>
        </w:tc>
      </w:tr>
      <w:tr w14:paraId="2396AB83">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5E5FECDB">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22A5C6B9">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3-14 研究报告</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3BBD7F63">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r w14:paraId="044FEAB7">
        <w:trPr>
          <w:trHeight w:val="286" w:hRule="atLeast"/>
        </w:trPr>
        <w:tc>
          <w:tcPr>
            <w:tcW w:w="1270"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3CFD65">
            <w:pPr>
              <w:jc w:val="center"/>
              <w:rPr>
                <w:rFonts w:hint="eastAsia" w:ascii="仿宋" w:hAnsi="仿宋" w:eastAsia="仿宋" w:cs="仿宋"/>
                <w:i w:val="0"/>
                <w:color w:val="000000"/>
                <w:sz w:val="22"/>
                <w:szCs w:val="22"/>
                <w:highlight w:val="none"/>
                <w:u w:val="none"/>
              </w:rPr>
            </w:pPr>
          </w:p>
        </w:tc>
        <w:tc>
          <w:tcPr>
            <w:tcW w:w="4691" w:type="dxa"/>
            <w:tcBorders>
              <w:top w:val="single" w:color="000000" w:sz="4" w:space="0"/>
              <w:left w:val="single" w:color="000000" w:sz="4" w:space="0"/>
              <w:bottom w:val="single" w:color="000000" w:sz="4" w:space="0"/>
              <w:right w:val="single" w:color="000000" w:sz="4" w:space="0"/>
            </w:tcBorders>
            <w:noWrap w:val="0"/>
            <w:vAlign w:val="center"/>
          </w:tcPr>
          <w:p w14:paraId="6E4741DC">
            <w:pPr>
              <w:keepNext w:val="0"/>
              <w:keepLines w:val="0"/>
              <w:widowControl/>
              <w:suppressLineNumbers w:val="0"/>
              <w:jc w:val="center"/>
              <w:textAlignment w:val="center"/>
              <w:rPr>
                <w:rFonts w:hint="eastAsia" w:ascii="仿宋" w:hAnsi="仿宋" w:eastAsia="仿宋" w:cs="仿宋"/>
                <w:i w:val="0"/>
                <w:color w:val="000000"/>
                <w:sz w:val="22"/>
                <w:szCs w:val="22"/>
                <w:highlight w:val="none"/>
                <w:u w:val="none"/>
              </w:rPr>
            </w:pPr>
            <w:r>
              <w:rPr>
                <w:rFonts w:hint="eastAsia" w:ascii="仿宋" w:hAnsi="仿宋" w:eastAsia="仿宋" w:cs="仿宋"/>
                <w:i w:val="0"/>
                <w:color w:val="000000"/>
                <w:kern w:val="0"/>
                <w:sz w:val="22"/>
                <w:szCs w:val="22"/>
                <w:highlight w:val="none"/>
                <w:u w:val="none"/>
                <w:lang w:val="en-US" w:eastAsia="zh-CN" w:bidi="ar"/>
              </w:rPr>
              <w:t>3-15 分析报告</w:t>
            </w:r>
          </w:p>
        </w:tc>
        <w:tc>
          <w:tcPr>
            <w:tcW w:w="3869" w:type="dxa"/>
            <w:tcBorders>
              <w:top w:val="single" w:color="000000" w:sz="4" w:space="0"/>
              <w:left w:val="single" w:color="000000" w:sz="4" w:space="0"/>
              <w:bottom w:val="single" w:color="000000" w:sz="4" w:space="0"/>
              <w:right w:val="single" w:color="000000" w:sz="4" w:space="0"/>
            </w:tcBorders>
            <w:noWrap w:val="0"/>
            <w:vAlign w:val="center"/>
          </w:tcPr>
          <w:p w14:paraId="20D00D0B">
            <w:pPr>
              <w:keepNext w:val="0"/>
              <w:keepLines w:val="0"/>
              <w:widowControl/>
              <w:suppressLineNumbers w:val="0"/>
              <w:jc w:val="center"/>
              <w:textAlignment w:val="center"/>
              <w:rPr>
                <w:rFonts w:hint="eastAsia" w:ascii="仿宋" w:hAnsi="仿宋" w:eastAsia="仿宋" w:cs="仿宋"/>
                <w:i w:val="0"/>
                <w:color w:val="000000"/>
                <w:kern w:val="0"/>
                <w:sz w:val="22"/>
                <w:szCs w:val="22"/>
                <w:highlight w:val="none"/>
                <w:u w:val="none"/>
                <w:lang w:val="en-US" w:eastAsia="zh-CN" w:bidi="ar"/>
              </w:rPr>
            </w:pPr>
          </w:p>
        </w:tc>
      </w:tr>
    </w:tbl>
    <w:p w14:paraId="3A10E242">
      <w:pPr>
        <w:kinsoku/>
        <w:wordWrap/>
        <w:overflowPunct/>
        <w:topLinePunct w:val="0"/>
        <w:bidi w:val="0"/>
        <w:spacing w:line="360" w:lineRule="auto"/>
        <w:rPr>
          <w:rFonts w:hint="eastAsia" w:ascii="仿宋" w:hAnsi="仿宋" w:eastAsia="仿宋" w:cs="仿宋"/>
          <w:smallCaps w:val="0"/>
          <w:sz w:val="28"/>
          <w:szCs w:val="28"/>
          <w:highlight w:val="none"/>
          <w:lang w:eastAsia="zh-CN"/>
        </w:rPr>
      </w:pPr>
      <w:r>
        <w:rPr>
          <w:rFonts w:hint="eastAsia" w:ascii="仿宋" w:hAnsi="仿宋" w:eastAsia="仿宋" w:cs="仿宋"/>
          <w:smallCaps w:val="0"/>
          <w:sz w:val="28"/>
          <w:szCs w:val="28"/>
          <w:highlight w:val="none"/>
          <w:lang w:eastAsia="zh-CN"/>
        </w:rPr>
        <w:t>注：</w:t>
      </w:r>
    </w:p>
    <w:p w14:paraId="74050192">
      <w:pPr>
        <w:kinsoku/>
        <w:wordWrap/>
        <w:overflowPunct/>
        <w:topLinePunct w:val="0"/>
        <w:bidi w:val="0"/>
        <w:spacing w:line="360" w:lineRule="auto"/>
        <w:rPr>
          <w:rFonts w:hint="eastAsia" w:ascii="仿宋" w:hAnsi="仿宋" w:eastAsia="仿宋" w:cs="仿宋"/>
          <w:smallCaps w:val="0"/>
          <w:sz w:val="28"/>
          <w:szCs w:val="28"/>
          <w:highlight w:val="none"/>
          <w:lang w:eastAsia="zh-CN"/>
        </w:rPr>
      </w:pPr>
      <w:r>
        <w:rPr>
          <w:rFonts w:hint="eastAsia" w:ascii="仿宋" w:hAnsi="仿宋" w:eastAsia="仿宋" w:cs="仿宋"/>
          <w:smallCaps w:val="0"/>
          <w:sz w:val="28"/>
          <w:szCs w:val="28"/>
          <w:highlight w:val="none"/>
          <w:lang w:val="en-US" w:eastAsia="zh-CN"/>
        </w:rPr>
        <w:t>1.</w:t>
      </w:r>
      <w:r>
        <w:rPr>
          <w:rFonts w:hint="eastAsia" w:ascii="仿宋" w:hAnsi="仿宋" w:eastAsia="仿宋" w:cs="仿宋"/>
          <w:smallCaps w:val="0"/>
          <w:sz w:val="28"/>
          <w:szCs w:val="28"/>
          <w:highlight w:val="none"/>
          <w:lang w:eastAsia="zh-CN"/>
        </w:rPr>
        <w:t>按模板填写外部数据采购实施案例名称（英文不区分大小写）；</w:t>
      </w:r>
    </w:p>
    <w:p w14:paraId="02D22F5F">
      <w:pPr>
        <w:kinsoku/>
        <w:wordWrap/>
        <w:overflowPunct/>
        <w:topLinePunct w:val="0"/>
        <w:bidi w:val="0"/>
        <w:spacing w:line="360" w:lineRule="auto"/>
        <w:rPr>
          <w:rFonts w:hint="eastAsia" w:ascii="仿宋" w:hAnsi="仿宋" w:eastAsia="仿宋" w:cs="仿宋"/>
          <w:smallCaps w:val="0"/>
          <w:sz w:val="28"/>
          <w:szCs w:val="28"/>
          <w:highlight w:val="none"/>
        </w:rPr>
      </w:pPr>
      <w:r>
        <w:rPr>
          <w:rFonts w:hint="eastAsia" w:ascii="仿宋" w:hAnsi="仿宋" w:eastAsia="仿宋" w:cs="仿宋"/>
          <w:smallCaps w:val="0"/>
          <w:sz w:val="28"/>
          <w:szCs w:val="28"/>
          <w:highlight w:val="none"/>
          <w:lang w:val="en-US" w:eastAsia="zh-CN"/>
        </w:rPr>
        <w:t>2.</w:t>
      </w:r>
      <w:r>
        <w:rPr>
          <w:rFonts w:hint="eastAsia" w:ascii="仿宋" w:hAnsi="仿宋" w:eastAsia="仿宋" w:cs="仿宋"/>
          <w:smallCaps w:val="0"/>
          <w:sz w:val="28"/>
          <w:szCs w:val="28"/>
          <w:highlight w:val="none"/>
          <w:lang w:eastAsia="zh-CN"/>
        </w:rPr>
        <w:t>对应编号无案例的对应栏位无需填写信息，编号不可自行增加或删减，编号自行增加或删减的该项不得分。</w:t>
      </w:r>
    </w:p>
    <w:p w14:paraId="746F4422">
      <w:pPr>
        <w:pageBreakBefore w:val="0"/>
        <w:widowControl/>
        <w:kinsoku/>
        <w:wordWrap/>
        <w:overflowPunct/>
        <w:topLinePunct w:val="0"/>
        <w:bidi w:val="0"/>
        <w:spacing w:beforeAutospacing="0" w:line="360" w:lineRule="auto"/>
        <w:ind w:left="0" w:leftChars="0" w:firstLine="5320" w:firstLineChars="19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 xml:space="preserve">投标供应商名称（公章）：杭州研数科技有限公司（验收演示）</w:t>
      </w:r>
      <w:commentRangeStart w:id="5"/>
      <w:r/>
      <w:commentRangeEnd w:id="5"/>
      <w:r>
        <w:rPr>
          <w:rStyle w:val="CommentReference"/>
        </w:rPr>
        <w:commentReference w:id="5"/>
      </w:r>
    </w:p>
    <w:p w14:paraId="52AA9246">
      <w:pPr>
        <w:pageBreakBefore w:val="0"/>
        <w:widowControl/>
        <w:kinsoku/>
        <w:wordWrap/>
        <w:overflowPunct/>
        <w:topLinePunct w:val="0"/>
        <w:bidi w:val="0"/>
        <w:spacing w:beforeAutospacing="0" w:line="360" w:lineRule="auto"/>
        <w:ind w:left="0" w:leftChars="0" w:firstLine="140" w:firstLineChars="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                 </w:t>
      </w:r>
      <w:r>
        <w:rPr>
          <w:rFonts w:hint="eastAsia" w:ascii="仿宋" w:hAnsi="仿宋" w:eastAsia="仿宋" w:cs="仿宋"/>
          <w:smallCaps w:val="0"/>
          <w:kern w:val="0"/>
          <w:sz w:val="28"/>
          <w:szCs w:val="28"/>
          <w:highlight w:val="none"/>
          <w:lang w:val="en-US" w:eastAsia="zh-CN"/>
        </w:rPr>
        <w:t xml:space="preserve"> </w:t>
      </w:r>
      <w:r>
        <w:rPr>
          <w:rFonts w:hint="eastAsia" w:ascii="仿宋" w:hAnsi="仿宋" w:eastAsia="仿宋" w:cs="仿宋"/>
          <w:smallCaps w:val="0"/>
          <w:kern w:val="0"/>
          <w:sz w:val="28"/>
          <w:szCs w:val="28"/>
          <w:highlight w:val="none"/>
        </w:rPr>
        <w:t xml:space="preserve">法定代表人（经营者）（签字或盖章）：陈演示（验收演示）</w:t>
      </w:r>
      <w:r>
        <w:rPr>
          <w:rFonts w:hint="eastAsia" w:ascii="仿宋" w:hAnsi="仿宋" w:eastAsia="仿宋" w:cs="仿宋"/>
          <w:smallCaps w:val="0"/>
          <w:kern w:val="0"/>
          <w:sz w:val="28"/>
          <w:szCs w:val="28"/>
          <w:highlight w:val="none"/>
        </w:rPr>
        <w:t xml:space="preserve">        </w:t>
      </w:r>
    </w:p>
    <w:p w14:paraId="2F79196C">
      <w:pPr>
        <w:pageBreakBefore w:val="0"/>
        <w:widowControl/>
        <w:kinsoku/>
        <w:wordWrap/>
        <w:overflowPunct/>
        <w:topLinePunct w:val="0"/>
        <w:bidi w:val="0"/>
        <w:spacing w:beforeAutospacing="0" w:line="360" w:lineRule="auto"/>
        <w:ind w:left="0" w:leftChars="0" w:firstLine="5600" w:firstLineChars="200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2026 年 8 月 19 日</w:t>
      </w:r>
    </w:p>
    <w:p>
      <w:pPr>
        <w:pStyle w:val="Heading2"/>
      </w:pPr>
      <w:r>
        <w:t>6.2 项目整体技术实施方案</w:t>
      </w:r>
    </w:p>
    <w:p>
      <w:pPr>
        <w:pStyle w:val="TenderBody"/>
      </w:pPr>
      <w:r>
        <w:t>实施阶段划分与时间计划</w:t>
      </w:r>
    </w:p>
    <w:p>
      <w:pPr>
        <w:pStyle w:val="TenderBody"/>
      </w:pPr>
      <w:r>
        <w:t>本标段服务期限1年，按周滚动实施，我方将实施过程划分为以下阶段：</w:t>
      </w:r>
    </w:p>
    <w:p>
      <w:pPr>
        <w:pStyle w:val="TenderCaption"/>
        <w:jc w:val="center"/>
      </w:pPr>
      <w:r>
        <w:t xml:space="preserve">表 6-1 实施阶段划分</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26"/>
        <w:gridCol w:w="539"/>
        <w:gridCol w:w="539"/>
        <w:gridCol w:w="539"/>
        <w:gridCol w:w="539"/>
        <w:gridCol w:w="539"/>
        <w:gridCol w:w="539"/>
        <w:gridCol w:w="539"/>
        <w:gridCol w:w="539"/>
        <w:gridCol w:w="539"/>
        <w:gridCol w:w="539"/>
        <w:gridCol w:w="539"/>
        <w:gridCol w:w="539"/>
      </w:tblGrid>
      <w:tr>
        <w:tc>
          <w:tcPr>
            <w:tcW w:type="dxa" w:w="1826"/>
            <w:shd w:val="clear" w:color="auto" w:fill="D9D9D9"/>
          </w:tcPr>
          <w:p>
            <w:pPr>
              <w:jc w:val="center"/>
            </w:pPr>
            <w:r>
              <w:rPr>
                <w:b/>
              </w:rPr>
              <w:t>任务</w:t>
            </w:r>
          </w:p>
        </w:tc>
        <w:tc>
          <w:tcPr>
            <w:tcW w:type="dxa" w:w="539"/>
            <w:shd w:val="clear" w:color="auto" w:fill="D9D9D9"/>
          </w:tcPr>
          <w:p>
            <w:pPr>
              <w:jc w:val="center"/>
            </w:pPr>
            <w:r>
              <w:rPr>
                <w:b/>
              </w:rPr>
              <w:t>W1</w:t>
            </w:r>
          </w:p>
        </w:tc>
        <w:tc>
          <w:tcPr>
            <w:tcW w:type="dxa" w:w="539"/>
            <w:shd w:val="clear" w:color="auto" w:fill="D9D9D9"/>
          </w:tcPr>
          <w:p>
            <w:pPr>
              <w:jc w:val="center"/>
            </w:pPr>
            <w:r>
              <w:rPr>
                <w:b/>
              </w:rPr>
              <w:t>W2</w:t>
            </w:r>
          </w:p>
        </w:tc>
        <w:tc>
          <w:tcPr>
            <w:tcW w:type="dxa" w:w="539"/>
            <w:shd w:val="clear" w:color="auto" w:fill="D9D9D9"/>
          </w:tcPr>
          <w:p>
            <w:pPr>
              <w:jc w:val="center"/>
            </w:pPr>
            <w:r>
              <w:rPr>
                <w:b/>
              </w:rPr>
              <w:t>W3</w:t>
            </w:r>
          </w:p>
        </w:tc>
        <w:tc>
          <w:tcPr>
            <w:tcW w:type="dxa" w:w="539"/>
            <w:shd w:val="clear" w:color="auto" w:fill="D9D9D9"/>
          </w:tcPr>
          <w:p>
            <w:pPr>
              <w:jc w:val="center"/>
            </w:pPr>
            <w:r>
              <w:rPr>
                <w:b/>
              </w:rPr>
              <w:t>W4</w:t>
            </w:r>
          </w:p>
        </w:tc>
        <w:tc>
          <w:tcPr>
            <w:tcW w:type="dxa" w:w="539"/>
            <w:shd w:val="clear" w:color="auto" w:fill="D9D9D9"/>
          </w:tcPr>
          <w:p>
            <w:pPr>
              <w:jc w:val="center"/>
            </w:pPr>
            <w:r>
              <w:rPr>
                <w:b/>
              </w:rPr>
              <w:t>W5</w:t>
            </w:r>
          </w:p>
        </w:tc>
        <w:tc>
          <w:tcPr>
            <w:tcW w:type="dxa" w:w="539"/>
            <w:shd w:val="clear" w:color="auto" w:fill="D9D9D9"/>
          </w:tcPr>
          <w:p>
            <w:pPr>
              <w:jc w:val="center"/>
            </w:pPr>
            <w:r>
              <w:rPr>
                <w:b/>
              </w:rPr>
              <w:t>W6</w:t>
            </w:r>
          </w:p>
        </w:tc>
        <w:tc>
          <w:tcPr>
            <w:tcW w:type="dxa" w:w="539"/>
            <w:shd w:val="clear" w:color="auto" w:fill="D9D9D9"/>
          </w:tcPr>
          <w:p>
            <w:pPr>
              <w:jc w:val="center"/>
            </w:pPr>
            <w:r>
              <w:rPr>
                <w:b/>
              </w:rPr>
              <w:t>W7</w:t>
            </w:r>
          </w:p>
        </w:tc>
        <w:tc>
          <w:tcPr>
            <w:tcW w:type="dxa" w:w="539"/>
            <w:shd w:val="clear" w:color="auto" w:fill="D9D9D9"/>
          </w:tcPr>
          <w:p>
            <w:pPr>
              <w:jc w:val="center"/>
            </w:pPr>
            <w:r>
              <w:rPr>
                <w:b/>
              </w:rPr>
              <w:t>W8</w:t>
            </w:r>
          </w:p>
        </w:tc>
        <w:tc>
          <w:tcPr>
            <w:tcW w:type="dxa" w:w="539"/>
            <w:shd w:val="clear" w:color="auto" w:fill="D9D9D9"/>
          </w:tcPr>
          <w:p>
            <w:pPr>
              <w:jc w:val="center"/>
            </w:pPr>
            <w:r>
              <w:rPr>
                <w:b/>
              </w:rPr>
              <w:t>W9</w:t>
            </w:r>
          </w:p>
        </w:tc>
        <w:tc>
          <w:tcPr>
            <w:tcW w:type="dxa" w:w="539"/>
            <w:shd w:val="clear" w:color="auto" w:fill="D9D9D9"/>
          </w:tcPr>
          <w:p>
            <w:pPr>
              <w:jc w:val="center"/>
            </w:pPr>
            <w:r>
              <w:rPr>
                <w:b/>
              </w:rPr>
              <w:t>W10</w:t>
            </w:r>
          </w:p>
        </w:tc>
        <w:tc>
          <w:tcPr>
            <w:tcW w:type="dxa" w:w="539"/>
            <w:shd w:val="clear" w:color="auto" w:fill="D9D9D9"/>
          </w:tcPr>
          <w:p>
            <w:pPr>
              <w:jc w:val="center"/>
            </w:pPr>
            <w:r>
              <w:rPr>
                <w:b/>
              </w:rPr>
              <w:t>W11</w:t>
            </w:r>
          </w:p>
        </w:tc>
        <w:tc>
          <w:tcPr>
            <w:tcW w:type="dxa" w:w="539"/>
            <w:shd w:val="clear" w:color="auto" w:fill="D9D9D9"/>
          </w:tcPr>
          <w:p>
            <w:pPr>
              <w:jc w:val="center"/>
            </w:pPr>
            <w:r>
              <w:rPr>
                <w:b/>
              </w:rPr>
              <w:t>W12</w:t>
            </w:r>
          </w:p>
        </w:tc>
      </w:tr>
      <w:tr>
        <w:tc>
          <w:tcPr>
            <w:tcW w:type="dxa" w:w="1826"/>
          </w:tcPr>
          <w:p>
            <w:r>
              <w:t>需求确认与接口设计</w:t>
            </w: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数据采购与源配置</w:t>
            </w: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质量测试与联调</w:t>
            </w: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合规审查与部署上线</w:t>
            </w: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试运行与培训</w:t>
            </w: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验收</w:t>
            </w: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服务运维与迭代</w:t>
            </w: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r>
      <w:tr>
        <w:tc>
          <w:tcPr>
            <w:tcW w:type="dxa" w:w="1826"/>
          </w:tcPr>
          <w:p>
            <w:r>
              <w:t>持续优化与续约评估支持</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r>
      <w:tr>
        <w:tc>
          <w:tcPr>
            <w:tcW w:type="dxa" w:w="1826"/>
          </w:tcPr>
          <w:p>
            <w:r>
              <w:t>需求评审通过</w:t>
            </w: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生产上线</w:t>
            </w: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合同验收</w:t>
            </w:r>
          </w:p>
        </w:tc>
        <w:tc>
          <w:tcPr>
            <w:tcW w:type="dxa" w:w="539"/>
          </w:tcPr>
          <w:p/>
        </w:tc>
        <w:tc>
          <w:tcPr>
            <w:tcW w:type="dxa" w:w="539"/>
          </w:tcP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r>
    </w:tbl>
    <w:p>
      <w:pPr>
        <w:pStyle w:val="TenderCaption"/>
        <w:jc w:val="center"/>
      </w:pPr>
      <w:r>
        <w:t xml:space="preserve">表 6-2 实施进度甘特图（按月聚合，验收演示）</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60"/>
        <w:gridCol w:w="1660"/>
        <w:gridCol w:w="1660"/>
        <w:gridCol w:w="1660"/>
        <w:gridCol w:w="1660"/>
      </w:tblGrid>
      <w:tr>
        <w:tc>
          <w:tcPr>
            <w:tcW w:type="dxa" w:w="1660"/>
            <w:shd w:val="clear" w:color="auto" w:fill="F2F2F2"/>
          </w:tcPr>
          <w:p>
            <w:pPr>
              <w:jc w:val="center"/>
            </w:pPr>
            <w:r>
              <w:rPr>
                <w:b/>
              </w:rPr>
              <w:t>序号</w:t>
            </w:r>
          </w:p>
        </w:tc>
        <w:tc>
          <w:tcPr>
            <w:tcW w:type="dxa" w:w="1660"/>
            <w:shd w:val="clear" w:color="auto" w:fill="F2F2F2"/>
          </w:tcPr>
          <w:p>
            <w:pPr>
              <w:jc w:val="center"/>
            </w:pPr>
            <w:r>
              <w:rPr>
                <w:b/>
              </w:rPr>
              <w:t>阶段</w:t>
            </w:r>
          </w:p>
        </w:tc>
        <w:tc>
          <w:tcPr>
            <w:tcW w:type="dxa" w:w="1660"/>
            <w:shd w:val="clear" w:color="auto" w:fill="F2F2F2"/>
          </w:tcPr>
          <w:p>
            <w:pPr>
              <w:jc w:val="center"/>
            </w:pPr>
            <w:r>
              <w:rPr>
                <w:b/>
              </w:rPr>
              <w:t>周期</w:t>
            </w:r>
          </w:p>
        </w:tc>
        <w:tc>
          <w:tcPr>
            <w:tcW w:type="dxa" w:w="1660"/>
            <w:shd w:val="clear" w:color="auto" w:fill="F2F2F2"/>
          </w:tcPr>
          <w:p>
            <w:pPr>
              <w:jc w:val="center"/>
            </w:pPr>
            <w:r>
              <w:rPr>
                <w:b/>
              </w:rPr>
              <w:t>主要工作内容</w:t>
            </w:r>
          </w:p>
        </w:tc>
        <w:tc>
          <w:tcPr>
            <w:tcW w:type="dxa" w:w="1660"/>
            <w:shd w:val="clear" w:color="auto" w:fill="F2F2F2"/>
          </w:tcPr>
          <w:p>
            <w:pPr>
              <w:jc w:val="center"/>
            </w:pPr>
            <w:r>
              <w:rPr>
                <w:b/>
              </w:rPr>
              <w:t>交付物</w:t>
            </w:r>
          </w:p>
        </w:tc>
      </w:tr>
      <w:tr>
        <w:tc>
          <w:tcPr>
            <w:tcW w:type="dxa" w:w="1660"/>
          </w:tcPr>
          <w:p>
            <w:r>
              <w:t>1</w:t>
            </w:r>
          </w:p>
        </w:tc>
        <w:tc>
          <w:tcPr>
            <w:tcW w:type="dxa" w:w="1660"/>
          </w:tcPr>
          <w:p>
            <w:r>
              <w:t>需求确认与接口设计</w:t>
            </w:r>
          </w:p>
        </w:tc>
        <w:tc>
          <w:tcPr>
            <w:tcW w:type="dxa" w:w="1660"/>
          </w:tcPr>
          <w:p>
            <w:r>
              <w:t>第1-4周</w:t>
            </w:r>
          </w:p>
        </w:tc>
        <w:tc>
          <w:tcPr>
            <w:tcW w:type="dxa" w:w="1660"/>
          </w:tcPr>
          <w:p>
            <w:r>
              <w:t>与采购人确认数据范围、接口规范、安全要求</w:t>
            </w:r>
          </w:p>
        </w:tc>
        <w:tc>
          <w:tcPr>
            <w:tcW w:type="dxa" w:w="1660"/>
          </w:tcPr>
          <w:p>
            <w:r>
              <w:t>需求规格说明书、接口规范文档（经采购人评审确认）</w:t>
            </w:r>
          </w:p>
        </w:tc>
      </w:tr>
      <w:tr>
        <w:tc>
          <w:tcPr>
            <w:tcW w:type="dxa" w:w="1660"/>
          </w:tcPr>
          <w:p>
            <w:r>
              <w:t>2</w:t>
            </w:r>
          </w:p>
        </w:tc>
        <w:tc>
          <w:tcPr>
            <w:tcW w:type="dxa" w:w="1660"/>
          </w:tcPr>
          <w:p>
            <w:r>
              <w:t>数据采购与源配置</w:t>
            </w:r>
          </w:p>
        </w:tc>
        <w:tc>
          <w:tcPr>
            <w:tcW w:type="dxa" w:w="1660"/>
          </w:tcPr>
          <w:p>
            <w:r>
              <w:t>第2-8周</w:t>
            </w:r>
          </w:p>
        </w:tc>
        <w:tc>
          <w:tcPr>
            <w:tcW w:type="dxa" w:w="1660"/>
          </w:tcPr>
          <w:p>
            <w:r>
              <w:t>本标段三类数据的源接入、采集链路搭建</w:t>
            </w:r>
          </w:p>
        </w:tc>
        <w:tc>
          <w:tcPr>
            <w:tcW w:type="dxa" w:w="1660"/>
          </w:tcPr>
          <w:p>
            <w:r>
              <w:t>数据源配置清单</w:t>
            </w:r>
          </w:p>
        </w:tc>
      </w:tr>
      <w:tr>
        <w:tc>
          <w:tcPr>
            <w:tcW w:type="dxa" w:w="1660"/>
          </w:tcPr>
          <w:p>
            <w:r>
              <w:t>3</w:t>
            </w:r>
          </w:p>
        </w:tc>
        <w:tc>
          <w:tcPr>
            <w:tcW w:type="dxa" w:w="1660"/>
          </w:tcPr>
          <w:p>
            <w:r>
              <w:t>质量测试与联调</w:t>
            </w:r>
          </w:p>
        </w:tc>
        <w:tc>
          <w:tcPr>
            <w:tcW w:type="dxa" w:w="1660"/>
          </w:tcPr>
          <w:p>
            <w:r>
              <w:t>第6-12周</w:t>
            </w:r>
          </w:p>
        </w:tc>
        <w:tc>
          <w:tcPr>
            <w:tcW w:type="dxa" w:w="1660"/>
          </w:tcPr>
          <w:p>
            <w:r>
              <w:t>测试环境功能、性能、安全测试与采购人联调</w:t>
            </w:r>
          </w:p>
        </w:tc>
        <w:tc>
          <w:tcPr>
            <w:tcW w:type="dxa" w:w="1660"/>
          </w:tcPr>
          <w:p>
            <w:r>
              <w:t>测试方案与测试报告（经采购人确认）</w:t>
            </w:r>
          </w:p>
        </w:tc>
      </w:tr>
      <w:tr>
        <w:tc>
          <w:tcPr>
            <w:tcW w:type="dxa" w:w="1660"/>
          </w:tcPr>
          <w:p>
            <w:r>
              <w:t>4</w:t>
            </w:r>
          </w:p>
        </w:tc>
        <w:tc>
          <w:tcPr>
            <w:tcW w:type="dxa" w:w="1660"/>
          </w:tcPr>
          <w:p>
            <w:r>
              <w:t>合规审查与部署上线</w:t>
            </w:r>
          </w:p>
        </w:tc>
        <w:tc>
          <w:tcPr>
            <w:tcW w:type="dxa" w:w="1660"/>
          </w:tcPr>
          <w:p>
            <w:r>
              <w:t>第10-16周</w:t>
            </w:r>
          </w:p>
        </w:tc>
        <w:tc>
          <w:tcPr>
            <w:tcW w:type="dxa" w:w="1660"/>
          </w:tcPr>
          <w:p>
            <w:r>
              <w:t>数据合法性与授权链路审查，双服务器部署、加密通道上线</w:t>
            </w:r>
          </w:p>
        </w:tc>
        <w:tc>
          <w:tcPr>
            <w:tcW w:type="dxa" w:w="1660"/>
          </w:tcPr>
          <w:p>
            <w:r>
              <w:t>合规审查记录、部署实施方案、验收方案</w:t>
            </w:r>
          </w:p>
        </w:tc>
      </w:tr>
      <w:tr>
        <w:tc>
          <w:tcPr>
            <w:tcW w:type="dxa" w:w="1660"/>
          </w:tcPr>
          <w:p>
            <w:r>
              <w:t>5</w:t>
            </w:r>
          </w:p>
        </w:tc>
        <w:tc>
          <w:tcPr>
            <w:tcW w:type="dxa" w:w="1660"/>
          </w:tcPr>
          <w:p>
            <w:r>
              <w:t>试运行与培训</w:t>
            </w:r>
          </w:p>
        </w:tc>
        <w:tc>
          <w:tcPr>
            <w:tcW w:type="dxa" w:w="1660"/>
          </w:tcPr>
          <w:p>
            <w:r>
              <w:t>第14-20周</w:t>
            </w:r>
          </w:p>
        </w:tc>
        <w:tc>
          <w:tcPr>
            <w:tcW w:type="dxa" w:w="1660"/>
          </w:tcPr>
          <w:p>
            <w:r>
              <w:t>生产试运行，四类培训（产品使用、系统运维、数据解读、风险合规）</w:t>
            </w:r>
          </w:p>
        </w:tc>
        <w:tc>
          <w:tcPr>
            <w:tcW w:type="dxa" w:w="1660"/>
          </w:tcPr>
          <w:p>
            <w:r>
              <w:t>用户使用手册、运维操作手册、培训资料</w:t>
            </w:r>
          </w:p>
        </w:tc>
      </w:tr>
      <w:tr>
        <w:tc>
          <w:tcPr>
            <w:tcW w:type="dxa" w:w="1660"/>
          </w:tcPr>
          <w:p>
            <w:r>
              <w:t>6</w:t>
            </w:r>
          </w:p>
        </w:tc>
        <w:tc>
          <w:tcPr>
            <w:tcW w:type="dxa" w:w="1660"/>
          </w:tcPr>
          <w:p>
            <w:r>
              <w:t>验收</w:t>
            </w:r>
          </w:p>
        </w:tc>
        <w:tc>
          <w:tcPr>
            <w:tcW w:type="dxa" w:w="1660"/>
          </w:tcPr>
          <w:p>
            <w:r>
              <w:t>第20-24周</w:t>
            </w:r>
          </w:p>
        </w:tc>
        <w:tc>
          <w:tcPr>
            <w:tcW w:type="dxa" w:w="1660"/>
          </w:tcPr>
          <w:p>
            <w:r>
              <w:t>合同验收、文档归档</w:t>
            </w:r>
          </w:p>
        </w:tc>
        <w:tc>
          <w:tcPr>
            <w:tcW w:type="dxa" w:w="1660"/>
          </w:tcPr>
          <w:p>
            <w:r>
              <w:t>项目验收报告、终版文档汇编</w:t>
            </w:r>
          </w:p>
        </w:tc>
      </w:tr>
      <w:tr>
        <w:tc>
          <w:tcPr>
            <w:tcW w:type="dxa" w:w="1660"/>
          </w:tcPr>
          <w:p>
            <w:r>
              <w:t>7</w:t>
            </w:r>
          </w:p>
        </w:tc>
        <w:tc>
          <w:tcPr>
            <w:tcW w:type="dxa" w:w="1660"/>
          </w:tcPr>
          <w:p>
            <w:r>
              <w:t>服务运维与迭代</w:t>
            </w:r>
          </w:p>
        </w:tc>
        <w:tc>
          <w:tcPr>
            <w:tcW w:type="dxa" w:w="1660"/>
          </w:tcPr>
          <w:p>
            <w:r>
              <w:t>第24周起至服务期满</w:t>
            </w:r>
          </w:p>
        </w:tc>
        <w:tc>
          <w:tcPr>
            <w:tcW w:type="dxa" w:w="1660"/>
          </w:tcPr>
          <w:p>
            <w:r>
              <w:t>日常同步更新、质量监控与月报、模型迭代、增值服务交付</w:t>
            </w:r>
          </w:p>
        </w:tc>
        <w:tc>
          <w:tcPr>
            <w:tcW w:type="dxa" w:w="1660"/>
          </w:tcPr>
          <w:p>
            <w:r>
              <w:t>月度数据运行监控报告</w:t>
            </w:r>
          </w:p>
        </w:tc>
      </w:tr>
      <w:tr>
        <w:tc>
          <w:tcPr>
            <w:tcW w:type="dxa" w:w="1660"/>
          </w:tcPr>
          <w:p>
            <w:r>
              <w:t>8</w:t>
            </w:r>
          </w:p>
        </w:tc>
        <w:tc>
          <w:tcPr>
            <w:tcW w:type="dxa" w:w="1660"/>
          </w:tcPr>
          <w:p>
            <w:r>
              <w:t>持续优化与续约评估支持</w:t>
            </w:r>
          </w:p>
        </w:tc>
        <w:tc>
          <w:tcPr>
            <w:tcW w:type="dxa" w:w="1660"/>
          </w:tcPr>
          <w:p>
            <w:r>
              <w:t>服务期满前2个月</w:t>
            </w:r>
          </w:p>
        </w:tc>
        <w:tc>
          <w:tcPr>
            <w:tcW w:type="dxa" w:w="1660"/>
          </w:tcPr>
          <w:p>
            <w:r>
              <w:t>产品升级、年度服务评估报告</w:t>
            </w:r>
          </w:p>
        </w:tc>
        <w:tc>
          <w:tcPr>
            <w:tcW w:type="dxa" w:w="1660"/>
          </w:tcPr>
          <w:p>
            <w:r>
              <w:t>升级方案、年度评估报告</w:t>
            </w:r>
          </w:p>
        </w:tc>
      </w:tr>
    </w:tbl>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26"/>
        <w:gridCol w:w="539"/>
        <w:gridCol w:w="539"/>
        <w:gridCol w:w="539"/>
        <w:gridCol w:w="539"/>
        <w:gridCol w:w="539"/>
        <w:gridCol w:w="539"/>
        <w:gridCol w:w="539"/>
        <w:gridCol w:w="539"/>
        <w:gridCol w:w="539"/>
        <w:gridCol w:w="539"/>
        <w:gridCol w:w="539"/>
        <w:gridCol w:w="539"/>
      </w:tblGrid>
      <w:tr>
        <w:tc>
          <w:tcPr>
            <w:tcW w:type="dxa" w:w="1826"/>
            <w:shd w:val="clear" w:color="auto" w:fill="D9D9D9"/>
          </w:tcPr>
          <w:p>
            <w:pPr>
              <w:jc w:val="center"/>
            </w:pPr>
            <w:r>
              <w:rPr>
                <w:b/>
              </w:rPr>
              <w:t>任务</w:t>
            </w:r>
          </w:p>
        </w:tc>
        <w:tc>
          <w:tcPr>
            <w:tcW w:type="dxa" w:w="539"/>
            <w:shd w:val="clear" w:color="auto" w:fill="D9D9D9"/>
          </w:tcPr>
          <w:p>
            <w:pPr>
              <w:jc w:val="center"/>
            </w:pPr>
            <w:r>
              <w:rPr>
                <w:b/>
              </w:rPr>
              <w:t>W1</w:t>
            </w:r>
          </w:p>
        </w:tc>
        <w:tc>
          <w:tcPr>
            <w:tcW w:type="dxa" w:w="539"/>
            <w:shd w:val="clear" w:color="auto" w:fill="D9D9D9"/>
          </w:tcPr>
          <w:p>
            <w:pPr>
              <w:jc w:val="center"/>
            </w:pPr>
            <w:r>
              <w:rPr>
                <w:b/>
              </w:rPr>
              <w:t>W2</w:t>
            </w:r>
          </w:p>
        </w:tc>
        <w:tc>
          <w:tcPr>
            <w:tcW w:type="dxa" w:w="539"/>
            <w:shd w:val="clear" w:color="auto" w:fill="D9D9D9"/>
          </w:tcPr>
          <w:p>
            <w:pPr>
              <w:jc w:val="center"/>
            </w:pPr>
            <w:r>
              <w:rPr>
                <w:b/>
              </w:rPr>
              <w:t>W3</w:t>
            </w:r>
          </w:p>
        </w:tc>
        <w:tc>
          <w:tcPr>
            <w:tcW w:type="dxa" w:w="539"/>
            <w:shd w:val="clear" w:color="auto" w:fill="D9D9D9"/>
          </w:tcPr>
          <w:p>
            <w:pPr>
              <w:jc w:val="center"/>
            </w:pPr>
            <w:r>
              <w:rPr>
                <w:b/>
              </w:rPr>
              <w:t>W4</w:t>
            </w:r>
          </w:p>
        </w:tc>
        <w:tc>
          <w:tcPr>
            <w:tcW w:type="dxa" w:w="539"/>
            <w:shd w:val="clear" w:color="auto" w:fill="D9D9D9"/>
          </w:tcPr>
          <w:p>
            <w:pPr>
              <w:jc w:val="center"/>
            </w:pPr>
            <w:r>
              <w:rPr>
                <w:b/>
              </w:rPr>
              <w:t>W5</w:t>
            </w:r>
          </w:p>
        </w:tc>
        <w:tc>
          <w:tcPr>
            <w:tcW w:type="dxa" w:w="539"/>
            <w:shd w:val="clear" w:color="auto" w:fill="D9D9D9"/>
          </w:tcPr>
          <w:p>
            <w:pPr>
              <w:jc w:val="center"/>
            </w:pPr>
            <w:r>
              <w:rPr>
                <w:b/>
              </w:rPr>
              <w:t>W6</w:t>
            </w:r>
          </w:p>
        </w:tc>
        <w:tc>
          <w:tcPr>
            <w:tcW w:type="dxa" w:w="539"/>
            <w:shd w:val="clear" w:color="auto" w:fill="D9D9D9"/>
          </w:tcPr>
          <w:p>
            <w:pPr>
              <w:jc w:val="center"/>
            </w:pPr>
            <w:r>
              <w:rPr>
                <w:b/>
              </w:rPr>
              <w:t>W7</w:t>
            </w:r>
          </w:p>
        </w:tc>
        <w:tc>
          <w:tcPr>
            <w:tcW w:type="dxa" w:w="539"/>
            <w:shd w:val="clear" w:color="auto" w:fill="D9D9D9"/>
          </w:tcPr>
          <w:p>
            <w:pPr>
              <w:jc w:val="center"/>
            </w:pPr>
            <w:r>
              <w:rPr>
                <w:b/>
              </w:rPr>
              <w:t>W8</w:t>
            </w:r>
          </w:p>
        </w:tc>
        <w:tc>
          <w:tcPr>
            <w:tcW w:type="dxa" w:w="539"/>
            <w:shd w:val="clear" w:color="auto" w:fill="D9D9D9"/>
          </w:tcPr>
          <w:p>
            <w:pPr>
              <w:jc w:val="center"/>
            </w:pPr>
            <w:r>
              <w:rPr>
                <w:b/>
              </w:rPr>
              <w:t>W9</w:t>
            </w:r>
          </w:p>
        </w:tc>
        <w:tc>
          <w:tcPr>
            <w:tcW w:type="dxa" w:w="539"/>
            <w:shd w:val="clear" w:color="auto" w:fill="D9D9D9"/>
          </w:tcPr>
          <w:p>
            <w:pPr>
              <w:jc w:val="center"/>
            </w:pPr>
            <w:r>
              <w:rPr>
                <w:b/>
              </w:rPr>
              <w:t>W10</w:t>
            </w:r>
          </w:p>
        </w:tc>
        <w:tc>
          <w:tcPr>
            <w:tcW w:type="dxa" w:w="539"/>
            <w:shd w:val="clear" w:color="auto" w:fill="D9D9D9"/>
          </w:tcPr>
          <w:p>
            <w:pPr>
              <w:jc w:val="center"/>
            </w:pPr>
            <w:r>
              <w:rPr>
                <w:b/>
              </w:rPr>
              <w:t>W11</w:t>
            </w:r>
          </w:p>
        </w:tc>
        <w:tc>
          <w:tcPr>
            <w:tcW w:type="dxa" w:w="539"/>
            <w:shd w:val="clear" w:color="auto" w:fill="D9D9D9"/>
          </w:tcPr>
          <w:p>
            <w:pPr>
              <w:jc w:val="center"/>
            </w:pPr>
            <w:r>
              <w:rPr>
                <w:b/>
              </w:rPr>
              <w:t>W12</w:t>
            </w:r>
          </w:p>
        </w:tc>
      </w:tr>
      <w:tr>
        <w:tc>
          <w:tcPr>
            <w:tcW w:type="dxa" w:w="1826"/>
          </w:tcPr>
          <w:p>
            <w:r>
              <w:t>需求确认与接口设计</w:t>
            </w: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数据采购与源配置</w:t>
            </w: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质量测试与联调</w:t>
            </w: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合规审查与部署上线</w:t>
            </w: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试运行与培训</w:t>
            </w: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验收</w:t>
            </w: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服务运维与迭代</w:t>
            </w: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r>
      <w:tr>
        <w:tc>
          <w:tcPr>
            <w:tcW w:type="dxa" w:w="1826"/>
          </w:tcPr>
          <w:p>
            <w:r>
              <w:t>持续优化与续约评估支持</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r>
      <w:tr>
        <w:tc>
          <w:tcPr>
            <w:tcW w:type="dxa" w:w="1826"/>
          </w:tcPr>
          <w:p>
            <w:r>
              <w:t>需求评审通过</w:t>
            </w: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生产上线</w:t>
            </w: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合同验收</w:t>
            </w:r>
          </w:p>
        </w:tc>
        <w:tc>
          <w:tcPr>
            <w:tcW w:type="dxa" w:w="539"/>
          </w:tcPr>
          <w:p/>
        </w:tc>
        <w:tc>
          <w:tcPr>
            <w:tcW w:type="dxa" w:w="539"/>
          </w:tcP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r>
    </w:tbl>
    <w:p>
      <w:pPr>
        <w:pStyle w:val="TenderBody"/>
        <w:rPr/>
      </w:pPr>
      <w:r>
        <w:t xml:space="preserve">本项目数据交付处理流程覆盖需求确认、源配置、采集加工、质量校验、加密传输、对账结算六个环节，各环节文档均按国家标准规范编写并经采购人评审确认后进入下一环节（验收演示）。</w:t>
      </w:r>
    </w:p>
    <w:p w14:paraId="4E3AF1E8">
      <w:pPr>
        <w:pStyle w:val="Heading2"/>
        <w:bidi w:val="0"/>
        <w:outlineLvl w:val="9"/>
      </w:pPr>
      <w:r>
        <w:rPr>
          <w:rFonts w:hint="eastAsia"/>
        </w:rPr>
        <w:t xml:space="preserve">数据交付处理流程</w:t>
      </w:r>
    </w:p>
    <w:p w14:paraId="5F80CBE1">
      <w:pPr>
        <w:pStyle w:val="Heading3"/>
        <w:bidi w:val="0"/>
        <w:ind w:left="720" w:leftChars="0" w:hanging="720" w:firstLineChars="0"/>
        <w:outlineLvl w:val="9"/>
      </w:pPr>
      <w:r>
        <w:rPr>
          <w:rFonts w:hint="eastAsia"/>
        </w:rPr>
        <w:t xml:space="preserve">6.2.1 数据交付环节</w:t>
      </w:r>
      <w:commentRangeStart w:id="6"/>
      <w:r/>
      <w:commentRangeEnd w:id="6"/>
      <w:r>
        <w:rPr>
          <w:rStyle w:val="CommentReference"/>
        </w:rPr>
        <w:commentReference w:id="6"/>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26"/>
        <w:gridCol w:w="539"/>
        <w:gridCol w:w="539"/>
        <w:gridCol w:w="539"/>
        <w:gridCol w:w="539"/>
        <w:gridCol w:w="539"/>
        <w:gridCol w:w="539"/>
        <w:gridCol w:w="539"/>
        <w:gridCol w:w="539"/>
        <w:gridCol w:w="539"/>
        <w:gridCol w:w="539"/>
        <w:gridCol w:w="539"/>
        <w:gridCol w:w="539"/>
      </w:tblGrid>
      <w:tr>
        <w:tc>
          <w:tcPr>
            <w:tcW w:type="dxa" w:w="1826"/>
            <w:shd w:val="clear" w:color="auto" w:fill="D9D9D9"/>
          </w:tcPr>
          <w:p>
            <w:pPr>
              <w:jc w:val="center"/>
            </w:pPr>
            <w:r>
              <w:rPr>
                <w:b/>
              </w:rPr>
              <w:t>任务</w:t>
            </w:r>
          </w:p>
        </w:tc>
        <w:tc>
          <w:tcPr>
            <w:tcW w:type="dxa" w:w="539"/>
            <w:shd w:val="clear" w:color="auto" w:fill="D9D9D9"/>
          </w:tcPr>
          <w:p>
            <w:pPr>
              <w:jc w:val="center"/>
            </w:pPr>
            <w:r>
              <w:rPr>
                <w:b/>
              </w:rPr>
              <w:t>W1</w:t>
            </w:r>
          </w:p>
        </w:tc>
        <w:tc>
          <w:tcPr>
            <w:tcW w:type="dxa" w:w="539"/>
            <w:shd w:val="clear" w:color="auto" w:fill="D9D9D9"/>
          </w:tcPr>
          <w:p>
            <w:pPr>
              <w:jc w:val="center"/>
            </w:pPr>
            <w:r>
              <w:rPr>
                <w:b/>
              </w:rPr>
              <w:t>W2</w:t>
            </w:r>
          </w:p>
        </w:tc>
        <w:tc>
          <w:tcPr>
            <w:tcW w:type="dxa" w:w="539"/>
            <w:shd w:val="clear" w:color="auto" w:fill="D9D9D9"/>
          </w:tcPr>
          <w:p>
            <w:pPr>
              <w:jc w:val="center"/>
            </w:pPr>
            <w:r>
              <w:rPr>
                <w:b/>
              </w:rPr>
              <w:t>W3</w:t>
            </w:r>
          </w:p>
        </w:tc>
        <w:tc>
          <w:tcPr>
            <w:tcW w:type="dxa" w:w="539"/>
            <w:shd w:val="clear" w:color="auto" w:fill="D9D9D9"/>
          </w:tcPr>
          <w:p>
            <w:pPr>
              <w:jc w:val="center"/>
            </w:pPr>
            <w:r>
              <w:rPr>
                <w:b/>
              </w:rPr>
              <w:t>W4</w:t>
            </w:r>
          </w:p>
        </w:tc>
        <w:tc>
          <w:tcPr>
            <w:tcW w:type="dxa" w:w="539"/>
            <w:shd w:val="clear" w:color="auto" w:fill="D9D9D9"/>
          </w:tcPr>
          <w:p>
            <w:pPr>
              <w:jc w:val="center"/>
            </w:pPr>
            <w:r>
              <w:rPr>
                <w:b/>
              </w:rPr>
              <w:t>W5</w:t>
            </w:r>
          </w:p>
        </w:tc>
        <w:tc>
          <w:tcPr>
            <w:tcW w:type="dxa" w:w="539"/>
            <w:shd w:val="clear" w:color="auto" w:fill="D9D9D9"/>
          </w:tcPr>
          <w:p>
            <w:pPr>
              <w:jc w:val="center"/>
            </w:pPr>
            <w:r>
              <w:rPr>
                <w:b/>
              </w:rPr>
              <w:t>W6</w:t>
            </w:r>
          </w:p>
        </w:tc>
        <w:tc>
          <w:tcPr>
            <w:tcW w:type="dxa" w:w="539"/>
            <w:shd w:val="clear" w:color="auto" w:fill="D9D9D9"/>
          </w:tcPr>
          <w:p>
            <w:pPr>
              <w:jc w:val="center"/>
            </w:pPr>
            <w:r>
              <w:rPr>
                <w:b/>
              </w:rPr>
              <w:t>W7</w:t>
            </w:r>
          </w:p>
        </w:tc>
        <w:tc>
          <w:tcPr>
            <w:tcW w:type="dxa" w:w="539"/>
            <w:shd w:val="clear" w:color="auto" w:fill="D9D9D9"/>
          </w:tcPr>
          <w:p>
            <w:pPr>
              <w:jc w:val="center"/>
            </w:pPr>
            <w:r>
              <w:rPr>
                <w:b/>
              </w:rPr>
              <w:t>W8</w:t>
            </w:r>
          </w:p>
        </w:tc>
        <w:tc>
          <w:tcPr>
            <w:tcW w:type="dxa" w:w="539"/>
            <w:shd w:val="clear" w:color="auto" w:fill="D9D9D9"/>
          </w:tcPr>
          <w:p>
            <w:pPr>
              <w:jc w:val="center"/>
            </w:pPr>
            <w:r>
              <w:rPr>
                <w:b/>
              </w:rPr>
              <w:t>W9</w:t>
            </w:r>
          </w:p>
        </w:tc>
        <w:tc>
          <w:tcPr>
            <w:tcW w:type="dxa" w:w="539"/>
            <w:shd w:val="clear" w:color="auto" w:fill="D9D9D9"/>
          </w:tcPr>
          <w:p>
            <w:pPr>
              <w:jc w:val="center"/>
            </w:pPr>
            <w:r>
              <w:rPr>
                <w:b/>
              </w:rPr>
              <w:t>W10</w:t>
            </w:r>
          </w:p>
        </w:tc>
        <w:tc>
          <w:tcPr>
            <w:tcW w:type="dxa" w:w="539"/>
            <w:shd w:val="clear" w:color="auto" w:fill="D9D9D9"/>
          </w:tcPr>
          <w:p>
            <w:pPr>
              <w:jc w:val="center"/>
            </w:pPr>
            <w:r>
              <w:rPr>
                <w:b/>
              </w:rPr>
              <w:t>W11</w:t>
            </w:r>
          </w:p>
        </w:tc>
        <w:tc>
          <w:tcPr>
            <w:tcW w:type="dxa" w:w="539"/>
            <w:shd w:val="clear" w:color="auto" w:fill="D9D9D9"/>
          </w:tcPr>
          <w:p>
            <w:pPr>
              <w:jc w:val="center"/>
            </w:pPr>
            <w:r>
              <w:rPr>
                <w:b/>
              </w:rPr>
              <w:t>W12</w:t>
            </w:r>
          </w:p>
        </w:tc>
      </w:tr>
      <w:tr>
        <w:tc>
          <w:tcPr>
            <w:tcW w:type="dxa" w:w="1826"/>
          </w:tcPr>
          <w:p>
            <w:r>
              <w:t>需求确认与接口设计</w:t>
            </w: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数据采购与源配置</w:t>
            </w: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质量测试与联调</w:t>
            </w: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合规审查与部署上线</w:t>
            </w: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试运行与培训</w:t>
            </w: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验收</w:t>
            </w: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服务运维与迭代</w:t>
            </w: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c>
          <w:tcPr>
            <w:tcW w:type="dxa" w:w="539"/>
            <w:shd w:val="clear" w:color="auto" w:fill="D9D9D9"/>
          </w:tcPr>
          <w:p/>
        </w:tc>
      </w:tr>
      <w:tr>
        <w:tc>
          <w:tcPr>
            <w:tcW w:type="dxa" w:w="1826"/>
          </w:tcPr>
          <w:p>
            <w:r>
              <w:t>持续优化与续约评估支持</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shd w:val="clear" w:color="auto" w:fill="D9D9D9"/>
          </w:tcPr>
          <w:p/>
        </w:tc>
        <w:tc>
          <w:tcPr>
            <w:tcW w:type="dxa" w:w="539"/>
            <w:shd w:val="clear" w:color="auto" w:fill="D9D9D9"/>
          </w:tcPr>
          <w:p/>
        </w:tc>
      </w:tr>
      <w:tr>
        <w:tc>
          <w:tcPr>
            <w:tcW w:type="dxa" w:w="1826"/>
          </w:tcPr>
          <w:p>
            <w:r>
              <w:t>需求评审通过</w:t>
            </w: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生产上线</w:t>
            </w: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c>
          <w:tcPr>
            <w:tcW w:type="dxa" w:w="539"/>
          </w:tcPr>
          <w:p/>
        </w:tc>
      </w:tr>
      <w:tr>
        <w:tc>
          <w:tcPr>
            <w:tcW w:type="dxa" w:w="1826"/>
          </w:tcPr>
          <w:p>
            <w:r>
              <w:t>合同验收</w:t>
            </w:r>
          </w:p>
        </w:tc>
        <w:tc>
          <w:tcPr>
            <w:tcW w:type="dxa" w:w="539"/>
          </w:tcPr>
          <w:p/>
        </w:tc>
        <w:tc>
          <w:tcPr>
            <w:tcW w:type="dxa" w:w="539"/>
          </w:tcPr>
          <w:p/>
        </w:tc>
        <w:tc>
          <w:tcPr>
            <w:tcW w:type="dxa" w:w="539"/>
          </w:tcPr>
          <w:p/>
        </w:tc>
        <w:tc>
          <w:tcPr>
            <w:tcW w:type="dxa" w:w="539"/>
          </w:tcPr>
          <w:p/>
        </w:tc>
        <w:tc>
          <w:tcPr>
            <w:tcW w:type="dxa" w:w="539"/>
          </w:tcPr>
          <w:p/>
        </w:tc>
        <w:tc>
          <w:tcPr>
            <w:tcW w:type="dxa" w:w="539"/>
          </w:tcPr>
          <w:p>
            <w:pPr>
              <w:jc w:val="center"/>
            </w:pPr>
            <w:r>
              <w:t>◆</w:t>
            </w:r>
          </w:p>
        </w:tc>
        <w:tc>
          <w:tcPr>
            <w:tcW w:type="dxa" w:w="539"/>
          </w:tcPr>
          <w:p/>
        </w:tc>
        <w:tc>
          <w:tcPr>
            <w:tcW w:type="dxa" w:w="539"/>
          </w:tcPr>
          <w:p/>
        </w:tc>
        <w:tc>
          <w:tcPr>
            <w:tcW w:type="dxa" w:w="539"/>
          </w:tcPr>
          <w:p/>
        </w:tc>
        <w:tc>
          <w:tcPr>
            <w:tcW w:type="dxa" w:w="539"/>
          </w:tcPr>
          <w:p/>
        </w:tc>
        <w:tc>
          <w:tcPr>
            <w:tcW w:type="dxa" w:w="539"/>
          </w:tcPr>
          <w:p/>
        </w:tc>
        <w:tc>
          <w:tcPr>
            <w:tcW w:type="dxa" w:w="539"/>
          </w:tcPr>
          <w:p/>
        </w:tc>
      </w:tr>
    </w:tbl>
    <w:p>
      <w:pPr>
        <w:pStyle w:val="TenderCaption"/>
        <w:jc w:val="center"/>
      </w:pPr>
      <w:r>
        <w:t xml:space="preserve">图 6-1 实施进度甘特图（按月聚合，验收演示）</w:t>
      </w:r>
    </w:p>
    <w:p>
      <w:pPr>
        <w:pStyle w:val="Heading2"/>
      </w:pPr>
      <w:r>
        <w:t>6.3 技术架构方案</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94"/>
        <w:gridCol w:w="1701"/>
        <w:gridCol w:w="1701"/>
        <w:gridCol w:w="1701"/>
        <w:gridCol w:w="1701"/>
      </w:tblGrid>
      <w:tr>
        <w:tc>
          <w:tcPr>
            <w:tcW w:type="dxa" w:w="1494"/>
            <w:shd w:val="clear" w:color="auto" w:fill="D9D9D9"/>
          </w:tcPr>
          <w:p>
            <w:pPr>
              <w:jc w:val="center"/>
            </w:pPr>
            <w:r>
              <w:rPr>
                <w:b/>
              </w:rPr>
              <w:t>应用层</w:t>
            </w:r>
          </w:p>
        </w:tc>
        <w:tc>
          <w:tcPr>
            <w:tcW w:type="dxa" w:w="1701"/>
            <w:shd w:val="clear" w:color="auto" w:fill="F2F2F2"/>
          </w:tcPr>
          <w:p>
            <w:pPr>
              <w:jc w:val="center"/>
            </w:pPr>
            <w:r>
              <w:t>外部数据查询接口</w:t>
            </w:r>
          </w:p>
        </w:tc>
        <w:tc>
          <w:tcPr>
            <w:tcW w:type="dxa" w:w="1701"/>
            <w:shd w:val="clear" w:color="auto" w:fill="F2F2F2"/>
          </w:tcPr>
          <w:p>
            <w:pPr>
              <w:jc w:val="center"/>
            </w:pPr>
            <w:r>
              <w:t>结果订阅与推送</w:t>
            </w:r>
          </w:p>
        </w:tc>
        <w:tc>
          <w:tcPr>
            <w:tcW w:type="dxa" w:w="1701"/>
            <w:shd w:val="clear" w:color="auto" w:fill="F2F2F2"/>
          </w:tcPr>
          <w:p>
            <w:pPr>
              <w:jc w:val="center"/>
            </w:pPr>
            <w:r>
              <w:t>监控告警面板</w:t>
            </w:r>
          </w:p>
        </w:tc>
        <w:tc>
          <w:tcPr>
            <w:tcW w:type="dxa" w:w="1701"/>
            <w:shd w:val="clear" w:color="auto" w:fill="F2F2F2"/>
          </w:tcPr>
          <w:p>
            <w:pPr>
              <w:jc w:val="center"/>
            </w:pPr>
            <w:r>
              <w:t>培训与文档门户</w:t>
            </w:r>
          </w:p>
        </w:tc>
      </w:tr>
      <w:tr>
        <w:tc>
          <w:tcPr>
            <w:tcW w:type="dxa" w:w="1494"/>
          </w:tcPr>
          <w:p>
            <w:r>
              <w:t xml:space="preserve">层间调用</w:t>
            </w:r>
          </w:p>
        </w:tc>
        <w:tc>
          <w:tcPr>
            <w:tcW w:type="dxa" w:w="1701"/>
          </w:tcPr>
          <w:p/>
        </w:tc>
        <w:tc>
          <w:tcPr>
            <w:tcW w:type="dxa" w:w="1701"/>
          </w:tcPr>
          <w:p>
            <w:pPr>
              <w:jc w:val="center"/>
            </w:pPr>
            <w:r>
              <w:t xml:space="preserve">（层间调用）</w:t>
            </w:r>
          </w:p>
        </w:tc>
        <w:tc>
          <w:tcPr>
            <w:tcW w:type="dxa" w:w="1701"/>
          </w:tcPr>
          <w:p/>
        </w:tc>
        <w:tc>
          <w:tcPr>
            <w:tcW w:type="dxa" w:w="1701"/>
          </w:tcPr>
          <w:p/>
        </w:tc>
      </w:tr>
      <w:tr>
        <w:tc>
          <w:tcPr>
            <w:tcW w:type="dxa" w:w="1494"/>
            <w:shd w:val="clear" w:color="auto" w:fill="D9D9D9"/>
          </w:tcPr>
          <w:p>
            <w:pPr>
              <w:jc w:val="center"/>
            </w:pPr>
            <w:r>
              <w:rPr>
                <w:b/>
              </w:rPr>
              <w:t>服务层（双服务器热备）</w:t>
            </w:r>
          </w:p>
        </w:tc>
        <w:tc>
          <w:tcPr>
            <w:tcW w:type="dxa" w:w="1701"/>
            <w:shd w:val="clear" w:color="auto" w:fill="F2F2F2"/>
          </w:tcPr>
          <w:p>
            <w:pPr>
              <w:jc w:val="center"/>
            </w:pPr>
            <w:r>
              <w:t>数据接收服务</w:t>
            </w:r>
          </w:p>
        </w:tc>
        <w:tc>
          <w:tcPr>
            <w:tcW w:type="dxa" w:w="1701"/>
            <w:shd w:val="clear" w:color="auto" w:fill="F2F2F2"/>
          </w:tcPr>
          <w:p>
            <w:pPr>
              <w:jc w:val="center"/>
            </w:pPr>
            <w:r>
              <w:t>认证与权限服务</w:t>
            </w:r>
          </w:p>
        </w:tc>
        <w:tc>
          <w:tcPr>
            <w:tcW w:type="dxa" w:w="1701"/>
            <w:shd w:val="clear" w:color="auto" w:fill="F2F2F2"/>
          </w:tcPr>
          <w:p>
            <w:pPr>
              <w:jc w:val="center"/>
            </w:pPr>
            <w:r>
              <w:t>加密加签服务</w:t>
            </w:r>
          </w:p>
        </w:tc>
        <w:tc>
          <w:tcPr>
            <w:tcW w:type="dxa" w:w="1701"/>
            <w:shd w:val="clear" w:color="auto" w:fill="F2F2F2"/>
          </w:tcPr>
          <w:p>
            <w:pPr>
              <w:jc w:val="center"/>
            </w:pPr>
            <w:r>
              <w:t>质量校验服务</w:t>
            </w:r>
          </w:p>
        </w:tc>
      </w:tr>
      <w:tr>
        <w:tc>
          <w:tcPr>
            <w:tcW w:type="dxa" w:w="1494"/>
          </w:tcPr>
          <w:p>
            <w:r>
              <w:t xml:space="preserve">层间调用</w:t>
            </w:r>
          </w:p>
        </w:tc>
        <w:tc>
          <w:tcPr>
            <w:tcW w:type="dxa" w:w="1701"/>
          </w:tcPr>
          <w:p/>
        </w:tc>
        <w:tc>
          <w:tcPr>
            <w:tcW w:type="dxa" w:w="1701"/>
          </w:tcPr>
          <w:p>
            <w:pPr>
              <w:jc w:val="center"/>
            </w:pPr>
            <w:r>
              <w:t xml:space="preserve">（层间调用）</w:t>
            </w:r>
          </w:p>
        </w:tc>
        <w:tc>
          <w:tcPr>
            <w:tcW w:type="dxa" w:w="1701"/>
          </w:tcPr>
          <w:p/>
        </w:tc>
        <w:tc>
          <w:tcPr>
            <w:tcW w:type="dxa" w:w="1701"/>
          </w:tcPr>
          <w:p/>
        </w:tc>
      </w:tr>
      <w:tr>
        <w:tc>
          <w:tcPr>
            <w:tcW w:type="dxa" w:w="1494"/>
            <w:shd w:val="clear" w:color="auto" w:fill="D9D9D9"/>
          </w:tcPr>
          <w:p>
            <w:pPr>
              <w:jc w:val="center"/>
            </w:pPr>
            <w:r>
              <w:rPr>
                <w:b/>
              </w:rPr>
              <w:t>数据层</w:t>
            </w:r>
          </w:p>
        </w:tc>
        <w:tc>
          <w:tcPr>
            <w:tcW w:type="dxa" w:w="1701"/>
            <w:shd w:val="clear" w:color="auto" w:fill="F2F2F2"/>
          </w:tcPr>
          <w:p>
            <w:pPr>
              <w:jc w:val="center"/>
            </w:pPr>
            <w:r>
              <w:t>数据库服务器（双机热备）</w:t>
            </w:r>
          </w:p>
        </w:tc>
        <w:tc>
          <w:tcPr>
            <w:tcW w:type="dxa" w:w="1701"/>
            <w:shd w:val="clear" w:color="auto" w:fill="F2F2F2"/>
          </w:tcPr>
          <w:p>
            <w:pPr>
              <w:jc w:val="center"/>
            </w:pPr>
            <w:r>
              <w:t>多级缓存（进程内、Redis、MongoDB）</w:t>
            </w:r>
          </w:p>
        </w:tc>
        <w:tc>
          <w:tcPr>
            <w:tcW w:type="dxa" w:w="1701"/>
            <w:shd w:val="clear" w:color="auto" w:fill="F2F2F2"/>
          </w:tcPr>
          <w:p>
            <w:pPr>
              <w:jc w:val="center"/>
            </w:pPr>
            <w:r>
              <w:t>分布式存储与异地灾备</w:t>
            </w:r>
          </w:p>
        </w:tc>
        <w:tc>
          <w:tcPr>
            <w:tcW w:type="dxa" w:w="1701"/>
          </w:tcPr>
          <w:p/>
        </w:tc>
      </w:tr>
      <w:tr>
        <w:tc>
          <w:tcPr>
            <w:tcW w:type="dxa" w:w="1494"/>
          </w:tcPr>
          <w:p>
            <w:r>
              <w:t xml:space="preserve">层间调用</w:t>
            </w:r>
          </w:p>
        </w:tc>
        <w:tc>
          <w:tcPr>
            <w:tcW w:type="dxa" w:w="1701"/>
          </w:tcPr>
          <w:p/>
        </w:tc>
        <w:tc>
          <w:tcPr>
            <w:tcW w:type="dxa" w:w="1701"/>
          </w:tcPr>
          <w:p>
            <w:pPr>
              <w:jc w:val="center"/>
            </w:pPr>
            <w:r>
              <w:t xml:space="preserve">（层间调用）</w:t>
            </w:r>
          </w:p>
        </w:tc>
        <w:tc>
          <w:tcPr>
            <w:tcW w:type="dxa" w:w="1701"/>
          </w:tcPr>
          <w:p/>
        </w:tc>
        <w:tc>
          <w:tcPr>
            <w:tcW w:type="dxa" w:w="1701"/>
          </w:tcPr>
          <w:p/>
        </w:tc>
      </w:tr>
      <w:tr>
        <w:tc>
          <w:tcPr>
            <w:tcW w:type="dxa" w:w="1494"/>
            <w:shd w:val="clear" w:color="auto" w:fill="D9D9D9"/>
          </w:tcPr>
          <w:p>
            <w:pPr>
              <w:jc w:val="center"/>
            </w:pPr>
            <w:r>
              <w:rPr>
                <w:b/>
              </w:rPr>
              <w:t>基础设施层</w:t>
            </w:r>
          </w:p>
        </w:tc>
        <w:tc>
          <w:tcPr>
            <w:tcW w:type="dxa" w:w="1701"/>
            <w:shd w:val="clear" w:color="auto" w:fill="F2F2F2"/>
          </w:tcPr>
          <w:p>
            <w:pPr>
              <w:jc w:val="center"/>
            </w:pPr>
            <w:r>
              <w:t>高性能服务器</w:t>
            </w:r>
          </w:p>
        </w:tc>
        <w:tc>
          <w:tcPr>
            <w:tcW w:type="dxa" w:w="1701"/>
            <w:shd w:val="clear" w:color="auto" w:fill="F2F2F2"/>
          </w:tcPr>
          <w:p>
            <w:pPr>
              <w:jc w:val="center"/>
            </w:pPr>
            <w:r>
              <w:t>光纤主干网络（专线/VPN加密）</w:t>
            </w:r>
          </w:p>
        </w:tc>
        <w:tc>
          <w:tcPr>
            <w:tcW w:type="dxa" w:w="1701"/>
            <w:shd w:val="clear" w:color="auto" w:fill="F2F2F2"/>
          </w:tcPr>
          <w:p>
            <w:pPr>
              <w:jc w:val="center"/>
            </w:pPr>
            <w:r>
              <w:t>监控工具集</w:t>
            </w:r>
          </w:p>
        </w:tc>
        <w:tc>
          <w:tcPr>
            <w:tcW w:type="dxa" w:w="1701"/>
            <w:shd w:val="clear" w:color="auto" w:fill="F2F2F2"/>
          </w:tcPr>
          <w:p>
            <w:pPr>
              <w:jc w:val="center"/>
            </w:pPr>
            <w:r>
              <w:t>堡垒机与审计</w:t>
            </w:r>
          </w:p>
        </w:tc>
      </w:tr>
      <w:tr>
        <w:tc>
          <w:tcPr>
            <w:tcW w:type="dxa" w:w="1494"/>
          </w:tcPr>
          <w:p>
            <w:r>
              <w:t xml:space="preserve">层间调用</w:t>
            </w:r>
          </w:p>
        </w:tc>
        <w:tc>
          <w:tcPr>
            <w:tcW w:type="dxa" w:w="1701"/>
          </w:tcPr>
          <w:p/>
        </w:tc>
        <w:tc>
          <w:tcPr>
            <w:tcW w:type="dxa" w:w="1701"/>
          </w:tcPr>
          <w:p>
            <w:pPr>
              <w:jc w:val="center"/>
            </w:pPr>
            <w:r>
              <w:t xml:space="preserve">（层间调用）</w:t>
            </w:r>
          </w:p>
        </w:tc>
        <w:tc>
          <w:tcPr>
            <w:tcW w:type="dxa" w:w="1701"/>
          </w:tcPr>
          <w:p/>
        </w:tc>
        <w:tc>
          <w:tcPr>
            <w:tcW w:type="dxa" w:w="1701"/>
          </w:tcPr>
          <w:p/>
        </w:tc>
      </w:tr>
      <w:tr>
        <w:tc>
          <w:tcPr>
            <w:tcW w:type="dxa" w:w="1494"/>
            <w:shd w:val="clear" w:color="auto" w:fill="D9D9D9"/>
          </w:tcPr>
          <w:p>
            <w:pPr>
              <w:jc w:val="center"/>
            </w:pPr>
            <w:r>
              <w:rPr>
                <w:b/>
              </w:rPr>
              <w:t>安全合规层（横切）</w:t>
            </w:r>
          </w:p>
        </w:tc>
        <w:tc>
          <w:tcPr>
            <w:tcW w:type="dxa" w:w="1701"/>
            <w:shd w:val="clear" w:color="auto" w:fill="F2F2F2"/>
          </w:tcPr>
          <w:p>
            <w:pPr>
              <w:jc w:val="center"/>
            </w:pPr>
            <w:r>
              <w:t>国密SM2/SM4加密与加签验签</w:t>
            </w:r>
          </w:p>
        </w:tc>
        <w:tc>
          <w:tcPr>
            <w:tcW w:type="dxa" w:w="1701"/>
            <w:shd w:val="clear" w:color="auto" w:fill="F2F2F2"/>
          </w:tcPr>
          <w:p>
            <w:pPr>
              <w:jc w:val="center"/>
            </w:pPr>
            <w:r>
              <w:t>数据分类分级与脱敏</w:t>
            </w:r>
          </w:p>
        </w:tc>
        <w:tc>
          <w:tcPr>
            <w:tcW w:type="dxa" w:w="1701"/>
            <w:shd w:val="clear" w:color="auto" w:fill="F2F2F2"/>
          </w:tcPr>
          <w:p>
            <w:pPr>
              <w:jc w:val="center"/>
            </w:pPr>
            <w:r>
              <w:t>IP白名单与MAC绑定</w:t>
            </w:r>
          </w:p>
        </w:tc>
        <w:tc>
          <w:tcPr>
            <w:tcW w:type="dxa" w:w="1701"/>
            <w:shd w:val="clear" w:color="auto" w:fill="F2F2F2"/>
          </w:tcPr>
          <w:p>
            <w:pPr>
              <w:jc w:val="center"/>
            </w:pPr>
            <w:r>
              <w:t>漏洞闭环管理</w:t>
            </w:r>
          </w:p>
        </w:tc>
      </w:tr>
    </w:tbl>
    <w:p>
      <w:pPr>
        <w:pStyle w:val="TenderCaption"/>
        <w:jc w:val="center"/>
      </w:pPr>
      <w:r>
        <w:t xml:space="preserve">图 6-2 整体技术架构分层</w:t>
      </w:r>
    </w:p>
    <w:p w14:paraId="33304239">
      <w:pPr>
        <w:pStyle w:val="Heading5"/>
        <w:bidi w:val="0"/>
        <w:ind w:left="864" w:leftChars="0" w:hanging="864" w:firstLineChars="0"/>
        <w:outlineLvl w:val="9"/>
      </w:pPr>
      <w:r>
        <w:rPr>
          <w:rFonts w:hint="eastAsia"/>
        </w:rPr>
        <w:t>高性能系统保证数据质量</w:t>
      </w:r>
    </w:p>
    <w:p w14:paraId="5D694C7D">
      <w:pPr>
        <w:pStyle w:val="Heading6"/>
        <w:bidi w:val="0"/>
        <w:ind w:left="1008" w:leftChars="0" w:hanging="1008" w:firstLineChars="0"/>
        <w:outlineLvl w:val="9"/>
      </w:pPr>
      <w:r>
        <w:rPr>
          <w:rFonts w:hint="eastAsia"/>
        </w:rPr>
        <w:t>系统性能指标</w:t>
      </w:r>
    </w:p>
    <w:p w14:paraId="2BA831B3">
      <w:pPr>
        <w:pStyle w:val="TenderBody"/>
      </w:pPr>
      <w:r>
        <w:rPr>
          <w:rFonts w:hint="eastAsia"/>
        </w:rPr>
        <w:t>产品的设计目标是无论同时有多少用户在线，都能在每天的任何时间提供极致性能。</w:t>
      </w:r>
    </w:p>
    <w:p w14:paraId="6E877525">
      <w:pPr>
        <w:pStyle w:val="TenderBody"/>
        <w:numPr>
          <w:ilvl w:val="0"/>
          <w:numId w:val="10"/>
        </w:numPr>
        <w:ind w:left="900"/>
      </w:pPr>
      <w:r>
        <w:rPr>
          <w:rFonts w:hint="eastAsia"/>
        </w:rPr>
        <w:t>集群</w:t>
      </w:r>
    </w:p>
    <w:p w14:paraId="5DA5F377">
      <w:pPr>
        <w:pStyle w:val="TenderBody"/>
      </w:pPr>
      <w:r>
        <w:rPr>
          <w:rFonts w:hint="eastAsia"/>
        </w:rPr>
        <w:t>系统服务采用无状态化设计，支持水平扩容，集群部署。分散用户请求，降低单台服务器压力，有效提高服务器的访问量。中间件均采用高可用集群化部署，比如关系型数据库、Storm、Flink、HBase等。</w:t>
      </w:r>
    </w:p>
    <w:p w14:paraId="427A1324">
      <w:pPr>
        <w:pStyle w:val="TenderBody"/>
        <w:numPr>
          <w:ilvl w:val="0"/>
          <w:numId w:val="10"/>
        </w:numPr>
        <w:ind w:left="900"/>
      </w:pPr>
      <w:r>
        <w:rPr>
          <w:rFonts w:hint="eastAsia"/>
        </w:rPr>
        <w:t>硬件加速</w:t>
      </w:r>
    </w:p>
    <w:p w14:paraId="603D3008">
      <w:pPr>
        <w:pStyle w:val="TenderBody"/>
      </w:pPr>
      <w:r>
        <w:rPr>
          <w:rFonts w:hint="eastAsia"/>
        </w:rPr>
        <w:t>高性能服务器及网络加速的主要措施有：使用高性能CPU，用来提供强大的运算能力。使用GPU+FPGA，用来加速机器学习能力。使用高性能SSD，用来提高系统磁盘访问速度。使用多光纤Internet主干连接。带宽可按需扩展。针对不同的应用场景采用灵活的集成及定制，提供最佳性能。</w:t>
      </w:r>
    </w:p>
    <w:p w14:paraId="26688896">
      <w:pPr>
        <w:pStyle w:val="TenderBody"/>
        <w:numPr>
          <w:ilvl w:val="0"/>
          <w:numId w:val="10"/>
        </w:numPr>
        <w:ind w:left="900"/>
      </w:pPr>
      <w:r>
        <w:rPr>
          <w:rFonts w:hint="eastAsia"/>
        </w:rPr>
        <w:t>多级缓存加速</w:t>
      </w:r>
    </w:p>
    <w:p w14:paraId="134CA8A1">
      <w:pPr>
        <w:pStyle w:val="TenderBody"/>
      </w:pPr>
      <w:r>
        <w:t>系统通过进程内缓存，Redis缓存，MongoDB实现多级缓存，给数据库减负，提升系统整体吞吐</w:t>
      </w:r>
      <w:r>
        <w:rPr>
          <w:rFonts w:hint="eastAsia"/>
        </w:rPr>
        <w:t>量和并发能力。</w:t>
      </w:r>
    </w:p>
    <w:p w14:paraId="7EEDDC8F">
      <w:pPr>
        <w:pStyle w:val="TenderBody"/>
        <w:numPr>
          <w:ilvl w:val="0"/>
          <w:numId w:val="10"/>
        </w:numPr>
        <w:ind w:left="900"/>
      </w:pPr>
      <w:r>
        <w:rPr>
          <w:rFonts w:hint="eastAsia"/>
        </w:rPr>
        <w:t>按需弹性扩容</w:t>
      </w:r>
    </w:p>
    <w:p w14:paraId="0633635F">
      <w:pPr>
        <w:pStyle w:val="TenderBody"/>
      </w:pPr>
      <w:r>
        <w:rPr>
          <w:rFonts w:hint="eastAsia"/>
        </w:rPr>
        <w:t>利用Kubernetes和分布式架构方案能够快速的根据使用要求对系统进行弹性扩容，保证系统始终保持在最佳性能。</w:t>
      </w:r>
    </w:p>
    <w:p w14:paraId="7C77EC14">
      <w:pPr>
        <w:pStyle w:val="Heading6"/>
        <w:bidi w:val="0"/>
        <w:ind w:left="1008" w:leftChars="0" w:hanging="1008" w:firstLineChars="0"/>
        <w:outlineLvl w:val="9"/>
      </w:pPr>
      <w:r>
        <w:rPr>
          <w:rFonts w:hint="eastAsia"/>
        </w:rPr>
        <w:t>系统可靠性</w:t>
      </w:r>
    </w:p>
    <w:p w14:paraId="1FA8C0CA">
      <w:pPr>
        <w:pStyle w:val="TenderBody"/>
        <w:numPr>
          <w:ilvl w:val="0"/>
          <w:numId w:val="11"/>
        </w:numPr>
        <w:ind w:left="900"/>
      </w:pPr>
      <w:r>
        <w:rPr>
          <w:rFonts w:hint="eastAsia"/>
        </w:rPr>
        <w:t>容错设计技术</w:t>
      </w:r>
    </w:p>
    <w:p w14:paraId="27F8D33C">
      <w:pPr>
        <w:pStyle w:val="TenderBody"/>
      </w:pPr>
      <w:r>
        <w:rPr>
          <w:rFonts w:hint="eastAsia"/>
        </w:rPr>
        <w:t>利用N版本程序设计、防卫式程序设计组合方案进行容错设计。</w:t>
      </w:r>
    </w:p>
    <w:p w14:paraId="0FCC7413">
      <w:pPr>
        <w:pStyle w:val="TenderBody"/>
      </w:pPr>
      <w:r>
        <w:rPr>
          <w:rFonts w:hint="eastAsia"/>
        </w:rPr>
        <w:t>N版本程序设计：提供软件的多个不同版本，防止因其中某一版本的软件提供错误服务而导致系统不可用。</w:t>
      </w:r>
    </w:p>
    <w:p w14:paraId="318DB71F">
      <w:pPr>
        <w:pStyle w:val="TenderBody"/>
        <w:numPr>
          <w:ilvl w:val="0"/>
          <w:numId w:val="11"/>
        </w:numPr>
        <w:ind w:left="900"/>
      </w:pPr>
      <w:r>
        <w:rPr>
          <w:rFonts w:hint="eastAsia"/>
        </w:rPr>
        <w:t>实时错误监控</w:t>
      </w:r>
    </w:p>
    <w:p w14:paraId="24B6FF46">
      <w:pPr>
        <w:pStyle w:val="TenderBody"/>
      </w:pPr>
      <w:r>
        <w:rPr>
          <w:rFonts w:hint="eastAsia"/>
        </w:rPr>
        <w:t>实时采集并分析系统日志，在发生异常和错误时，能够及时发现并产生报警信息。维护人员快速响应并修复错误问题，提高系统错误的快速恢复能力。</w:t>
      </w:r>
    </w:p>
    <w:p w14:paraId="1B6BE032">
      <w:pPr>
        <w:pStyle w:val="TenderBody"/>
        <w:numPr>
          <w:ilvl w:val="0"/>
          <w:numId w:val="11"/>
        </w:numPr>
        <w:ind w:left="900"/>
      </w:pPr>
      <w:r>
        <w:rPr>
          <w:rFonts w:hint="eastAsia"/>
        </w:rPr>
        <w:t>降低复杂度设计</w:t>
      </w:r>
    </w:p>
    <w:p w14:paraId="1484A7BF">
      <w:pPr>
        <w:pStyle w:val="TenderBody"/>
      </w:pPr>
      <w:r>
        <w:rPr>
          <w:rFonts w:hint="eastAsia"/>
        </w:rPr>
        <w:t>利用微服务架构，降低单个服务的业务复杂度，减少因为软件复杂而引起的软件缺陷，从而提高软件可靠性。</w:t>
      </w:r>
    </w:p>
    <w:p w14:paraId="40240C19">
      <w:pPr>
        <w:pStyle w:val="Heading6"/>
        <w:bidi w:val="0"/>
        <w:ind w:left="1008" w:leftChars="0" w:hanging="1008" w:firstLineChars="0"/>
        <w:outlineLvl w:val="9"/>
      </w:pPr>
      <w:r>
        <w:rPr>
          <w:rFonts w:hint="eastAsia"/>
        </w:rPr>
        <w:t>系统可用性</w:t>
      </w:r>
    </w:p>
    <w:p w14:paraId="41F10063">
      <w:pPr>
        <w:pStyle w:val="TenderBody"/>
        <w:ind w:firstLine="482"/>
        <w:rPr>
          <w:b/>
          <w:bCs/>
        </w:rPr>
      </w:pPr>
      <w:r>
        <w:rPr>
          <w:rFonts w:hint="eastAsia"/>
          <w:b/>
          <w:bCs/>
        </w:rPr>
        <w:t>分布式系统架构</w:t>
      </w:r>
    </w:p>
    <w:p w14:paraId="55A89F9E">
      <w:pPr>
        <w:pStyle w:val="TenderBody"/>
      </w:pPr>
      <w:r>
        <w:rPr>
          <w:rFonts w:hint="eastAsia"/>
        </w:rPr>
        <w:t>采用分布式系统架构，所有服务均采用异地多节点部署，避免产生单点故障问题。当部分节点暂时发生故障时，系统会主动发现并屏蔽故障节点，利用冗余节点保证系统整体的高可用性。</w:t>
      </w:r>
    </w:p>
    <w:p w14:paraId="41005F71">
      <w:pPr>
        <w:pStyle w:val="TenderBody"/>
        <w:ind w:firstLine="482"/>
        <w:rPr>
          <w:b/>
          <w:bCs/>
        </w:rPr>
      </w:pPr>
      <w:r>
        <w:rPr>
          <w:rFonts w:hint="eastAsia"/>
          <w:b/>
          <w:bCs/>
        </w:rPr>
        <w:t>高可用冗余设计</w:t>
      </w:r>
    </w:p>
    <w:p w14:paraId="465A533C">
      <w:pPr>
        <w:pStyle w:val="TenderBody"/>
      </w:pPr>
      <w:r>
        <w:rPr>
          <w:rFonts w:hint="eastAsia"/>
        </w:rPr>
        <w:t xml:space="preserve">本方案整体高可用架构设计，以高可用性和高稳定性为要求</w:t>
      </w:r>
      <w:r>
        <w:rPr>
          <w:rFonts w:hint="eastAsia"/>
        </w:rPr>
        <w:t xml:space="preserve">，从硬件到服务均采用冗余设计。所有服务均异地多节点部署，无单点故障。部署冗余的机房配电、机房网络、服务器组件、冷却、UPS等。</w:t>
      </w:r>
    </w:p>
    <w:p w14:paraId="1237EED4">
      <w:pPr>
        <w:pStyle w:val="TenderBody"/>
        <w:ind w:firstLine="482"/>
        <w:rPr>
          <w:b/>
          <w:bCs/>
        </w:rPr>
      </w:pPr>
      <w:r>
        <w:rPr>
          <w:rFonts w:hint="eastAsia"/>
          <w:b/>
          <w:bCs/>
        </w:rPr>
        <w:t>数据分布式高可用</w:t>
      </w:r>
    </w:p>
    <w:p w14:paraId="06D2002E">
      <w:pPr>
        <w:pStyle w:val="TenderBody"/>
      </w:pPr>
      <w:r>
        <w:rPr>
          <w:rFonts w:hint="eastAsia"/>
        </w:rPr>
        <w:t>数据库存储采用分布式存储，双机热备，多机房异地灾备等组合方案，保证数据的冗余和服务的高可用。</w:t>
      </w:r>
    </w:p>
    <w:p w14:paraId="415D8AED">
      <w:pPr>
        <w:pStyle w:val="TenderBody"/>
        <w:ind w:firstLine="482"/>
        <w:rPr>
          <w:b/>
          <w:bCs/>
        </w:rPr>
      </w:pPr>
      <w:r>
        <w:rPr>
          <w:rFonts w:hint="eastAsia"/>
          <w:b/>
          <w:bCs/>
        </w:rPr>
        <w:t>高可用服务保障</w:t>
      </w:r>
    </w:p>
    <w:p w14:paraId="3CA77200">
      <w:pPr>
        <w:pStyle w:val="TenderBody"/>
      </w:pPr>
      <w:r>
        <w:rPr>
          <w:rFonts w:hint="eastAsia"/>
        </w:rPr>
        <w:t>利用多种系统监控工具：zabbix、nagios、grafana、netdata、promethus、ganglia，分别进行硬件基础设施监控，线上服务能力监控，线上请求监控，反爬监控，配合服务报警系统和日志分析系统，快速响应线上各类报警和异常。</w:t>
      </w:r>
    </w:p>
    <w:p w14:paraId="7ECD43E9">
      <w:pPr>
        <w:pStyle w:val="TenderBody"/>
        <w:ind w:firstLine="482"/>
        <w:rPr>
          <w:b/>
          <w:bCs/>
        </w:rPr>
      </w:pPr>
      <w:r>
        <w:rPr>
          <w:rFonts w:hint="eastAsia"/>
          <w:b/>
          <w:bCs/>
        </w:rPr>
        <w:t>高可用服务降级</w:t>
      </w:r>
    </w:p>
    <w:p w14:paraId="23B340A6">
      <w:pPr>
        <w:pStyle w:val="TenderBody"/>
      </w:pPr>
      <w:r>
        <w:rPr>
          <w:rFonts w:hint="eastAsia"/>
        </w:rPr>
        <w:t>当服务器压力剧增的情况下，根据实际业务情况及流量，进行服务降级处理，保证重要或基本服务正常运行，非重要服务延迟使用或暂停使用。</w:t>
      </w:r>
    </w:p>
    <w:p w14:paraId="2EC3F5A6">
      <w:pPr>
        <w:pStyle w:val="Heading6"/>
        <w:bidi w:val="0"/>
        <w:ind w:left="1008" w:leftChars="0" w:hanging="1008" w:firstLineChars="0"/>
        <w:outlineLvl w:val="9"/>
      </w:pPr>
      <w:r>
        <w:rPr>
          <w:rFonts w:hint="eastAsia"/>
        </w:rPr>
        <w:t>系统安全性</w:t>
      </w:r>
    </w:p>
    <w:p w14:paraId="2EB3B6E0">
      <w:pPr>
        <w:pStyle w:val="TenderBody"/>
        <w:ind w:firstLine="482"/>
        <w:rPr>
          <w:b/>
          <w:bCs/>
        </w:rPr>
      </w:pPr>
      <w:r>
        <w:rPr>
          <w:rFonts w:hint="eastAsia"/>
          <w:b/>
          <w:bCs/>
        </w:rPr>
        <w:t>安全规范体系</w:t>
      </w:r>
    </w:p>
    <w:p w14:paraId="3F7B737C">
      <w:pPr>
        <w:pStyle w:val="TenderBody"/>
      </w:pPr>
      <w:r>
        <w:rPr>
          <w:rFonts w:hint="eastAsia"/>
        </w:rPr>
        <w:t xml:space="preserve">根据《中华人民共和国网络安全法》要求，结合信息安全等级保护和公司安全实践经验，建立了规范的安全体系。建立统一的漏洞管理流程，实现漏洞的发现、确认、处理、验证、复盘、关闭等闭环管理，并进行持续优化，</w:t>
      </w:r>
      <w:r>
        <w:rPr>
          <w:rFonts w:hint="eastAsia"/>
        </w:rPr>
        <w:t xml:space="preserve">保障本项目的安全运行。</w:t>
      </w:r>
    </w:p>
    <w:p w14:paraId="7E0A3A27">
      <w:pPr>
        <w:pStyle w:val="TenderBody"/>
        <w:ind w:firstLine="482"/>
        <w:rPr>
          <w:b/>
          <w:bCs/>
        </w:rPr>
      </w:pPr>
      <w:r>
        <w:rPr>
          <w:rFonts w:hint="eastAsia"/>
          <w:b/>
          <w:bCs/>
        </w:rPr>
        <w:t>信息安全部</w:t>
      </w:r>
    </w:p>
    <w:p w14:paraId="6965EFC3">
      <w:pPr>
        <w:pStyle w:val="TenderBody"/>
      </w:pPr>
      <w:r>
        <w:rPr>
          <w:rFonts w:hint="eastAsia"/>
        </w:rPr>
        <w:t>有专业的信息安全部，对系统进行安全管理。定期对系统进行安全检查和风险分析，提出相应的对策。</w:t>
      </w:r>
    </w:p>
    <w:p w14:paraId="06AC06F3">
      <w:pPr>
        <w:pStyle w:val="TenderBody"/>
        <w:ind w:firstLine="482"/>
        <w:rPr>
          <w:b/>
          <w:bCs/>
        </w:rPr>
      </w:pPr>
      <w:r>
        <w:rPr>
          <w:rFonts w:hint="eastAsia"/>
          <w:b/>
          <w:bCs/>
        </w:rPr>
        <w:t>客户端安全</w:t>
      </w:r>
    </w:p>
    <w:p w14:paraId="10935C77">
      <w:pPr>
        <w:pStyle w:val="TenderBody"/>
      </w:pPr>
      <w:r>
        <w:rPr>
          <w:rFonts w:hint="eastAsia"/>
        </w:rPr>
        <w:t xml:space="preserve">客户端完整性：在客户端发布前，通过重新编译、加壳保护、证书验签等安全加固措施，</w:t>
      </w:r>
      <w:r>
        <w:rPr>
          <w:rFonts w:hint="eastAsia"/>
        </w:rPr>
        <w:t xml:space="preserve">保障客户端安全性和完整性，防止非法破解和篡改。</w:t>
      </w:r>
    </w:p>
    <w:p w14:paraId="004EFFF3">
      <w:pPr>
        <w:pStyle w:val="TenderBody"/>
      </w:pPr>
      <w:r>
        <w:rPr>
          <w:rFonts w:hint="eastAsia"/>
        </w:rPr>
        <w:t>密码机制：基于密钥机制的用户身份认证，密钥使用过程中通过非对称加密算法加密，防止侦听截获。密钥验证有监控策略，防止猜测攻击。会话具有完善的过期策略，防止重放攻击。</w:t>
      </w:r>
    </w:p>
    <w:p w14:paraId="71BDC206">
      <w:pPr>
        <w:pStyle w:val="TenderBody"/>
      </w:pPr>
      <w:r>
        <w:rPr>
          <w:rFonts w:hint="eastAsia"/>
        </w:rPr>
        <w:t xml:space="preserve">风险识别系统：风险识别系统针对登录、注册画像，结合我方全平台大数据识别异常行为。</w:t>
      </w:r>
    </w:p>
    <w:p w14:paraId="17C95B97">
      <w:pPr>
        <w:pStyle w:val="TenderBody"/>
        <w:ind w:firstLine="482"/>
        <w:rPr>
          <w:b/>
          <w:bCs/>
        </w:rPr>
      </w:pPr>
      <w:r>
        <w:rPr>
          <w:rFonts w:hint="eastAsia"/>
          <w:b/>
          <w:bCs/>
        </w:rPr>
        <w:t>服务端安全</w:t>
      </w:r>
    </w:p>
    <w:p w14:paraId="22CB7803">
      <w:pPr>
        <w:pStyle w:val="TenderBody"/>
      </w:pPr>
      <w:r>
        <w:rPr>
          <w:rFonts w:hint="eastAsia"/>
        </w:rPr>
        <w:t>开发人员需要按照安全开发规范进行开发，确保系统能够抵御常见的Web攻击，如XSS、CSRF、SQL注入等。同时，通过使用安全扫描工具对服务进行扫描，确保服务不存在安全漏洞。</w:t>
      </w:r>
    </w:p>
    <w:p w14:paraId="72C7E1DB">
      <w:pPr>
        <w:pStyle w:val="TenderBody"/>
        <w:ind w:firstLine="482"/>
        <w:rPr>
          <w:b/>
          <w:bCs/>
        </w:rPr>
      </w:pPr>
      <w:r>
        <w:rPr>
          <w:rFonts w:hint="eastAsia"/>
          <w:b/>
          <w:bCs/>
        </w:rPr>
        <w:t>传输安全</w:t>
      </w:r>
    </w:p>
    <w:p w14:paraId="7930756F">
      <w:pPr>
        <w:pStyle w:val="TenderBody"/>
      </w:pPr>
      <w:r>
        <w:rPr>
          <w:rFonts w:hint="eastAsia"/>
        </w:rPr>
        <w:t xml:space="preserve">敏感信息加密传输。</w:t>
      </w:r>
      <w:r>
        <w:rPr>
          <w:rFonts w:hint="eastAsia"/>
        </w:rPr>
        <w:t xml:space="preserve">我方产品提供专线或VPN（安全套接字SSL/TLS）对传输过程进行加密、签名，防止窃听、篡改，以实现系统的数据传输安全。</w:t>
      </w:r>
    </w:p>
    <w:p w14:paraId="53160C4C">
      <w:pPr>
        <w:pStyle w:val="TenderBody"/>
        <w:ind w:firstLine="482"/>
        <w:rPr>
          <w:b/>
          <w:bCs/>
        </w:rPr>
      </w:pPr>
      <w:r>
        <w:rPr>
          <w:rFonts w:hint="eastAsia"/>
          <w:b/>
          <w:bCs/>
        </w:rPr>
        <w:t>网络安全</w:t>
      </w:r>
    </w:p>
    <w:p w14:paraId="0FE2ABE2">
      <w:pPr>
        <w:pStyle w:val="TenderBody"/>
      </w:pPr>
      <w:r>
        <w:rPr>
          <w:rFonts w:hint="eastAsia"/>
        </w:rPr>
        <w:t>建立统一标准化的网络拓扑，并划分不同的安全区域，可以将服务隔离在内部网络环境内以提供更多的保护。</w:t>
      </w:r>
    </w:p>
    <w:p w14:paraId="05E8C2A4">
      <w:pPr>
        <w:pStyle w:val="TenderBody"/>
        <w:ind w:firstLine="482"/>
        <w:rPr>
          <w:b/>
          <w:bCs/>
        </w:rPr>
      </w:pPr>
      <w:r>
        <w:rPr>
          <w:rFonts w:hint="eastAsia"/>
          <w:b/>
          <w:bCs/>
        </w:rPr>
        <w:t>主机安全</w:t>
      </w:r>
    </w:p>
    <w:p w14:paraId="4D7FB045">
      <w:pPr>
        <w:pStyle w:val="TenderBody"/>
      </w:pPr>
      <w:r>
        <w:rPr>
          <w:rFonts w:hint="eastAsia"/>
        </w:rPr>
        <w:t>关闭不需要的服务和端口，降低漏洞发生的可能性。服务器需要通过堡垒机进行操作以及对操作进行审计记录，及时发现可能存在的问题。定期使用漏洞扫描工具进行扫描，确保系统组件安全稳定。</w:t>
      </w:r>
    </w:p>
    <w:p w14:paraId="369A24BA">
      <w:pPr>
        <w:pStyle w:val="TenderBody"/>
        <w:ind w:firstLine="482"/>
        <w:rPr>
          <w:b/>
          <w:bCs/>
        </w:rPr>
      </w:pPr>
      <w:r>
        <w:rPr>
          <w:rFonts w:hint="eastAsia"/>
          <w:b/>
          <w:bCs/>
        </w:rPr>
        <w:t>数据安全</w:t>
      </w:r>
    </w:p>
    <w:p w14:paraId="527FCF5B">
      <w:pPr>
        <w:pStyle w:val="TenderBody"/>
      </w:pPr>
      <w:r>
        <w:rPr>
          <w:rFonts w:hint="eastAsia"/>
        </w:rPr>
        <w:t>数据安全防护是指为支撑数据流动安全所提供的安全功能，包括数据分类分级、元数据管理、质量管理、数据加密、数据隔离、防泄漏、追踪溯源、数据销毁等内容。</w:t>
      </w:r>
    </w:p>
    <w:p w14:paraId="0C42C375">
      <w:pPr>
        <w:pStyle w:val="TenderBody"/>
      </w:pPr>
      <w:r>
        <w:rPr>
          <w:rFonts w:hint="eastAsia"/>
        </w:rPr>
        <w:t>制定数据安全管理规范，根据数据的特性，按照数据安全防护策略进行分类分级保护。通过对敏感数据进行脱敏、加密、隔离处理，保证数据的安全。</w:t>
      </w:r>
    </w:p>
    <w:p w14:paraId="78511A78">
      <w:pPr>
        <w:pStyle w:val="TenderBody"/>
        <w:ind w:firstLine="482"/>
        <w:rPr>
          <w:b/>
          <w:bCs/>
        </w:rPr>
      </w:pPr>
      <w:r>
        <w:rPr>
          <w:rFonts w:hint="eastAsia"/>
          <w:b/>
          <w:bCs/>
        </w:rPr>
        <w:t>隐私安全</w:t>
      </w:r>
    </w:p>
    <w:p w14:paraId="5A716BEC">
      <w:pPr>
        <w:pStyle w:val="TenderBody"/>
      </w:pPr>
      <w:r>
        <w:rPr>
          <w:rFonts w:hint="eastAsia"/>
        </w:rPr>
        <w:t>隐私保护是建立在数据安全防护基础之上的保障个人隐私权的更深层次安全要求。</w:t>
      </w:r>
    </w:p>
    <w:p w14:paraId="4C46202A">
      <w:pPr>
        <w:pStyle w:val="TenderBody"/>
      </w:pPr>
      <w:r>
        <w:rPr>
          <w:rFonts w:hint="eastAsia"/>
        </w:rPr>
        <w:t>利用去标识化、匿名化、密文计算等技术保障个人数据在处理、流程过程中不泄露个人隐私或个人不愿被外界知道的信息。</w:t>
      </w:r>
    </w:p>
    <w:p w14:paraId="394CC685">
      <w:pPr>
        <w:pStyle w:val="Heading6"/>
        <w:bidi w:val="0"/>
        <w:ind w:left="1008" w:leftChars="0" w:hanging="1008" w:firstLineChars="0"/>
        <w:outlineLvl w:val="9"/>
      </w:pPr>
      <w:r>
        <w:rPr>
          <w:rFonts w:hint="eastAsia"/>
        </w:rPr>
        <w:t>系统可扩展性</w:t>
      </w:r>
    </w:p>
    <w:p w14:paraId="5168BF4C">
      <w:pPr>
        <w:pStyle w:val="TenderBody"/>
        <w:ind w:firstLine="482"/>
        <w:rPr>
          <w:b/>
          <w:bCs/>
        </w:rPr>
      </w:pPr>
      <w:r>
        <w:rPr>
          <w:rFonts w:hint="eastAsia"/>
          <w:b/>
          <w:bCs/>
        </w:rPr>
        <w:t>垂直架构</w:t>
      </w:r>
    </w:p>
    <w:p w14:paraId="3A7F9E6D">
      <w:pPr>
        <w:pStyle w:val="TenderBody"/>
        <w:rPr>
          <w:rFonts w:hint="eastAsia"/>
        </w:rPr>
      </w:pPr>
      <w:r>
        <w:rPr>
          <w:rFonts w:hint="eastAsia"/>
        </w:rPr>
        <w:t>服务层面：按照应用层、中台层、基础支撑层、数据层进行分层设计，层层分离保证安全。</w:t>
      </w:r>
    </w:p>
    <w:p w14:paraId="4CED90F1">
      <w:pPr>
        <w:pStyle w:val="TenderBody"/>
        <w:ind w:firstLine="482"/>
        <w:rPr>
          <w:b/>
          <w:bCs/>
        </w:rPr>
      </w:pPr>
      <w:r>
        <w:rPr>
          <w:rFonts w:hint="eastAsia"/>
          <w:b/>
          <w:bCs/>
        </w:rPr>
        <w:t>水平扩展</w:t>
      </w:r>
    </w:p>
    <w:p w14:paraId="50DE431E">
      <w:pPr>
        <w:pStyle w:val="TenderBody"/>
      </w:pPr>
      <w:r>
        <w:rPr>
          <w:rFonts w:hint="eastAsia"/>
        </w:rPr>
        <w:t>在实际生产环境中，我们可能会遇到某个服务需要扩容的场景，也可能会遇到资源紧张或者工作负载降低需要减少服务数量的场景。利用Kubernetes容器调度平台实现服务的快速扩容能力。</w:t>
      </w:r>
    </w:p>
    <w:p w14:paraId="79C1C05E">
      <w:pPr>
        <w:pStyle w:val="TenderBody"/>
        <w:ind w:firstLine="482"/>
        <w:rPr>
          <w:b/>
          <w:bCs/>
        </w:rPr>
      </w:pPr>
      <w:r>
        <w:rPr>
          <w:rFonts w:hint="eastAsia"/>
          <w:b/>
          <w:bCs/>
        </w:rPr>
        <w:t>设计原则</w:t>
      </w:r>
    </w:p>
    <w:p w14:paraId="18FDDAA0">
      <w:pPr>
        <w:pStyle w:val="TenderBody"/>
      </w:pPr>
      <w:r>
        <w:rPr>
          <w:rFonts w:hint="eastAsia"/>
        </w:rPr>
        <w:t>系统在服务、模块、类、方法等不同层次的组件设计中，都遵循高内聚、松耦合的原则。</w:t>
      </w:r>
    </w:p>
    <w:p w14:paraId="5DB8E4FE">
      <w:pPr>
        <w:pStyle w:val="TenderBody"/>
        <w:ind w:firstLine="482"/>
        <w:rPr>
          <w:b/>
          <w:bCs/>
        </w:rPr>
      </w:pPr>
      <w:r>
        <w:rPr>
          <w:rFonts w:hint="eastAsia"/>
          <w:b/>
          <w:bCs/>
        </w:rPr>
        <w:t>模块微服务</w:t>
      </w:r>
    </w:p>
    <w:p w14:paraId="1935DF4F">
      <w:pPr>
        <w:pStyle w:val="TenderBody"/>
      </w:pPr>
      <w:r>
        <w:rPr>
          <w:rFonts w:hint="eastAsia"/>
        </w:rPr>
        <w:t>采用微服务结构设计，每个业务模块都是单独一个微服务，并通过标准接口联系在一起。每个功能在业务上独立Docker化部署，支持平滑弹性扩容。</w:t>
      </w:r>
    </w:p>
    <w:p w14:paraId="42C496EA">
      <w:pPr>
        <w:pStyle w:val="TenderBody"/>
        <w:ind w:firstLine="482"/>
        <w:rPr>
          <w:b/>
          <w:bCs/>
        </w:rPr>
      </w:pPr>
      <w:r>
        <w:rPr>
          <w:rFonts w:hint="eastAsia"/>
          <w:b/>
          <w:bCs/>
        </w:rPr>
        <w:t>功能组件化</w:t>
      </w:r>
    </w:p>
    <w:p w14:paraId="0ADE7836">
      <w:pPr>
        <w:pStyle w:val="TenderBody"/>
      </w:pPr>
      <w:r>
        <w:rPr>
          <w:rFonts w:hint="eastAsia"/>
        </w:rPr>
        <w:t>基础功能采用组件化开发，每个组件都能被独立的使用，业务方可以直接引用。提高功能组件的复用率和稳定性。</w:t>
      </w:r>
    </w:p>
    <w:p w14:paraId="13B663FF">
      <w:pPr>
        <w:pStyle w:val="TenderBody"/>
        <w:ind w:firstLine="482"/>
        <w:rPr>
          <w:b/>
          <w:bCs/>
        </w:rPr>
      </w:pPr>
      <w:r>
        <w:rPr>
          <w:rFonts w:hint="eastAsia"/>
          <w:b/>
          <w:bCs/>
        </w:rPr>
        <w:t>接口多样化</w:t>
      </w:r>
    </w:p>
    <w:p w14:paraId="5726DFD6">
      <w:pPr>
        <w:pStyle w:val="TenderBody"/>
      </w:pPr>
      <w:r>
        <w:rPr>
          <w:rFonts w:hint="eastAsia"/>
        </w:rPr>
        <w:t>接口基于HTTP协议的RESTFul风格API，数据序列化协议为JSON，通用协议及数据交换格式，语言无关，支持跨系统集成调用。</w:t>
      </w:r>
    </w:p>
    <w:p w14:paraId="09660969">
      <w:pPr>
        <w:pStyle w:val="Heading6"/>
        <w:bidi w:val="0"/>
        <w:ind w:left="1008" w:leftChars="0" w:hanging="1008" w:firstLineChars="0"/>
        <w:outlineLvl w:val="9"/>
      </w:pPr>
      <w:r>
        <w:rPr>
          <w:rFonts w:hint="eastAsia"/>
        </w:rPr>
        <w:t>系统灾备说明</w:t>
      </w:r>
    </w:p>
    <w:p>
      <w:pPr>
        <w:pStyle w:val="TenderBody"/>
        <w:rPr/>
      </w:pPr>
      <w:r>
        <w:t xml:space="preserve">数据采用双服务器部署，数据接收服务器与数据库服务器互为热备，单台故障时由备机自动接管，保证服务不中断；日常维护窗口安排在采购人指定时段，避免影响业务使用。接口与数据交换格式采用UTF-8编码，兼容GB-18030-2022字符集，满足采购人信息系统中文与特殊字符的处理要求。我方另提供与生产环境一致的测试环境，供采购人在正式接入前进行联调测试。</w:t>
      </w:r>
    </w:p>
    <w:p w14:paraId="7DD43398">
      <w:pPr>
        <w:pStyle w:val="Heading3"/>
        <w:bidi w:val="0"/>
        <w:ind w:left="720" w:leftChars="0" w:hanging="720" w:firstLineChars="0"/>
        <w:outlineLvl w:val="9"/>
        <w:rPr>
          <w:rFonts w:hint="eastAsia"/>
        </w:rPr>
      </w:pPr>
      <w:r>
        <w:rPr>
          <w:rFonts w:hint="eastAsia"/>
        </w:rPr>
        <w:t>6.3.1 数据部署对接方案</w:t>
      </w:r>
    </w:p>
    <w:p w14:paraId="50CC5C6F">
      <w:pPr>
        <w:pStyle w:val="Heading5"/>
        <w:bidi w:val="0"/>
        <w:ind w:left="864" w:leftChars="0" w:hanging="864" w:firstLineChars="0"/>
        <w:outlineLvl w:val="9"/>
        <w:rPr>
          <w:rFonts w:hint="eastAsia"/>
        </w:rPr>
      </w:pPr>
      <w:r>
        <w:rPr>
          <w:rFonts w:hint="eastAsia"/>
        </w:rPr>
        <w:t>数据库本地化部署</w:t>
      </w:r>
    </w:p>
    <w:p w14:paraId="4B02DEDF">
      <w:pPr>
        <w:pStyle w:val="TenderBody"/>
        <w:ind w:firstLine="482"/>
        <w:rPr>
          <w:rFonts w:hint="eastAsia"/>
          <w:b/>
          <w:bCs/>
        </w:rPr>
      </w:pPr>
      <w:r>
        <w:rPr>
          <w:rFonts w:hint="eastAsia"/>
          <w:b/>
          <w:bCs/>
        </w:rPr>
        <w:t>1. 技术规范</w:t>
      </w:r>
    </w:p>
    <w:p w14:paraId="482CF4F7">
      <w:pPr>
        <w:pStyle w:val="TenderBody"/>
        <w:rPr>
          <w:rFonts w:hint="eastAsia"/>
        </w:rPr>
      </w:pPr>
      <w:r>
        <w:rPr>
          <w:rFonts w:hint="eastAsia"/>
        </w:rPr>
        <w:t>（1）数据库接入：</w:t>
      </w:r>
    </w:p>
    <w:p w14:paraId="7FBE8D68">
      <w:pPr>
        <w:pStyle w:val="TenderBody"/>
        <w:rPr>
          <w:rFonts w:hint="eastAsia"/>
        </w:rPr>
      </w:pPr>
      <w:r>
        <w:rPr>
          <w:rFonts w:hint="eastAsia"/>
        </w:rPr>
        <w:t>a.以基础数据库形式进行接入；</w:t>
      </w:r>
    </w:p>
    <w:p w14:paraId="4C43BB47">
      <w:pPr>
        <w:pStyle w:val="TenderBody"/>
        <w:tabs>
          <w:tab w:val="center" w:pos="4393"/>
        </w:tabs>
        <w:rPr>
          <w:rFonts w:hint="eastAsia"/>
        </w:rPr>
      </w:pPr>
      <w:r>
        <w:rPr>
          <w:rFonts w:hint="eastAsia"/>
        </w:rPr>
        <w:t>（2）数据库接入监控：</w:t>
      </w:r>
      <w:r>
        <w:rPr>
          <w:rFonts w:hint="eastAsia"/>
        </w:rPr>
        <w:tab/>
      </w:r>
    </w:p>
    <w:p w14:paraId="5D746D3B">
      <w:pPr>
        <w:pStyle w:val="TenderBody"/>
        <w:rPr>
          <w:rFonts w:hint="eastAsia"/>
        </w:rPr>
      </w:pPr>
      <w:r>
        <w:rPr>
          <w:rFonts w:hint="eastAsia"/>
        </w:rPr>
        <w:t>a. 数据同步软件提供监控和日志功能，可反应每张表每日同步的记录数，同步是否正常；</w:t>
      </w:r>
    </w:p>
    <w:p w14:paraId="568F537D">
      <w:pPr>
        <w:pStyle w:val="TenderBody"/>
        <w:rPr>
          <w:rFonts w:hint="eastAsia"/>
        </w:rPr>
      </w:pPr>
      <w:r>
        <w:rPr>
          <w:rFonts w:hint="eastAsia"/>
        </w:rPr>
        <w:t>b. 数据同步软件可监控同步的数据在本地入库是否正常，入库的记录数；</w:t>
      </w:r>
    </w:p>
    <w:p w14:paraId="5382C132">
      <w:pPr>
        <w:pStyle w:val="TenderBody"/>
        <w:ind w:firstLine="482"/>
        <w:rPr>
          <w:rFonts w:hint="eastAsia"/>
          <w:b/>
          <w:bCs/>
        </w:rPr>
      </w:pPr>
      <w:r>
        <w:rPr>
          <w:rFonts w:hint="eastAsia"/>
          <w:b/>
          <w:bCs/>
        </w:rPr>
        <w:t>2. 数据提供方式</w:t>
      </w:r>
    </w:p>
    <w:p w14:paraId="5A3A6C63">
      <w:pPr>
        <w:pStyle w:val="44"/>
        <w:numPr>
          <w:ilvl w:val="0"/>
          <w:numId w:val="12"/>
        </w:numPr>
        <w:tabs>
          <w:tab w:val="left" w:pos="482"/>
        </w:tabs>
        <w:ind w:left="0" w:firstLine="480"/>
        <w:rPr>
          <w:rFonts w:hint="eastAsia"/>
        </w:rPr>
      </w:pPr>
      <w:r>
        <w:rPr>
          <w:rFonts w:hint="eastAsia"/>
        </w:rPr>
        <w:t>历史数据提供方式</w:t>
      </w:r>
    </w:p>
    <w:p w14:paraId="0E5CE7E9">
      <w:pPr>
        <w:pStyle w:val="TenderBody"/>
        <w:rPr>
          <w:rFonts w:hint="eastAsia"/>
          <w:kern w:val="0"/>
        </w:rPr>
      </w:pPr>
      <w:r>
        <w:rPr>
          <w:rFonts w:hint="eastAsia"/>
          <w:kern w:val="0"/>
        </w:rPr>
        <w:t xml:space="preserve">按采购方所选取的数据范围生成相关数据库文件或者采购方通过数据库同步工具的方式获取历史数据库文件，</w:t>
      </w:r>
      <w:r>
        <w:rPr>
          <w:rFonts w:hint="eastAsia"/>
          <w:kern w:val="0"/>
        </w:rPr>
        <w:t xml:space="preserve">最后由我方将历史数据导入到数据库。</w:t>
      </w:r>
    </w:p>
    <w:p w14:paraId="1D39963C">
      <w:pPr>
        <w:pStyle w:val="44"/>
        <w:numPr>
          <w:ilvl w:val="0"/>
          <w:numId w:val="12"/>
        </w:numPr>
        <w:tabs>
          <w:tab w:val="left" w:pos="482"/>
        </w:tabs>
        <w:ind w:left="0" w:firstLine="480"/>
        <w:rPr>
          <w:rFonts w:hint="eastAsia"/>
        </w:rPr>
      </w:pPr>
      <w:r>
        <w:rPr>
          <w:rFonts w:hint="eastAsia"/>
        </w:rPr>
        <w:t>更新数据提供方式</w:t>
      </w:r>
    </w:p>
    <w:p w14:paraId="4545454D">
      <w:pPr>
        <w:pStyle w:val="TenderBody"/>
        <w:rPr>
          <w:rFonts w:hint="eastAsia"/>
          <w:kern w:val="0"/>
        </w:rPr>
      </w:pPr>
      <w:r>
        <w:rPr>
          <w:rFonts w:hint="eastAsia"/>
          <w:kern w:val="0"/>
        </w:rPr>
        <w:t xml:space="preserve">采购方可自行选择是否接受更新的数据。如果接受的话，由数据同步更新程序自动检测是否有新数据，如有则会发送请求到数据同步服务器，数据服务器根据后台设置的招标方信息确认权限和相关信息无误后，将更新的数据发送回请求端。 </w:t>
      </w:r>
    </w:p>
    <w:p w14:paraId="0D807C15">
      <w:pPr>
        <w:pStyle w:val="TenderBody"/>
        <w:pageBreakBefore/>
        <w:ind w:firstLine="482"/>
        <w:rPr>
          <w:rFonts w:hint="eastAsia"/>
          <w:b/>
          <w:bCs/>
        </w:rPr>
      </w:pPr>
      <w:r>
        <w:rPr>
          <w:rFonts w:hint="eastAsia"/>
          <w:b/>
          <w:bCs/>
        </w:rPr>
        <w:t>3. 系统部署</w:t>
      </w:r>
    </w:p>
    <w:p w14:paraId="1524F4B1">
      <w:pPr>
        <w:pStyle w:val="44"/>
        <w:numPr>
          <w:ilvl w:val="0"/>
          <w:numId w:val="12"/>
        </w:numPr>
        <w:tabs>
          <w:tab w:val="left" w:pos="482"/>
        </w:tabs>
        <w:ind w:left="0" w:firstLine="480"/>
        <w:rPr>
          <w:rFonts w:hint="eastAsia"/>
        </w:rPr>
      </w:pPr>
      <w:r>
        <w:rPr>
          <w:rFonts w:hint="eastAsia"/>
        </w:rPr>
        <w:t>系统架构</w:t>
      </w:r>
    </w:p>
    <w:p w14:paraId="45CBF395">
      <w:pPr>
        <w:pStyle w:val="TenderBody"/>
        <w:rPr>
          <w:rFonts w:hint="eastAsia"/>
        </w:rPr>
      </w:pPr>
      <w:r>
        <w:rPr>
          <w:rFonts w:hint="eastAsia"/>
        </w:rPr>
        <w:drawing>
          <wp:inline distT="0" distB="0" distL="0" distR="0">
            <wp:extent cx="4046220" cy="4010025"/>
            <wp:effectExtent l="0" t="0" r="0" b="9525"/>
            <wp:docPr id="161507873" name="图片 34" descr="图示&#10;&#10;描述已自动生成"/>
            <wp:cNvGraphicFramePr/>
            <a:graphic xmlns:a="http://schemas.openxmlformats.org/drawingml/2006/main">
              <a:graphicData uri="http://schemas.openxmlformats.org/drawingml/2006/picture">
                <pic:pic xmlns:pic="http://schemas.openxmlformats.org/drawingml/2006/picture">
                  <pic:nvPicPr>
                    <pic:cNvPr id="161507873" name="图片 34" descr="图示&#10;&#10;描述已自动生成"/>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046220" cy="4010025"/>
                    </a:xfrm>
                    <a:prstGeom prst="rect">
                      <a:avLst/>
                    </a:prstGeom>
                    <a:noFill/>
                    <a:ln>
                      <a:noFill/>
                    </a:ln>
                  </pic:spPr>
                </pic:pic>
              </a:graphicData>
            </a:graphic>
          </wp:inline>
        </w:drawing>
      </w:r>
    </w:p>
    <w:p w14:paraId="3C4C6755">
      <w:pPr>
        <w:pStyle w:val="44"/>
        <w:pageBreakBefore/>
        <w:numPr>
          <w:ilvl w:val="0"/>
          <w:numId w:val="12"/>
        </w:numPr>
        <w:tabs>
          <w:tab w:val="left" w:pos="482"/>
        </w:tabs>
        <w:ind w:left="0" w:firstLine="480"/>
        <w:rPr>
          <w:rFonts w:hint="eastAsia"/>
        </w:rPr>
      </w:pPr>
      <w:r>
        <w:rPr>
          <w:rFonts w:hint="eastAsia"/>
        </w:rPr>
        <w:t>数据架构</w:t>
      </w:r>
    </w:p>
    <w:p w14:paraId="5A24F74D">
      <w:pPr>
        <w:pStyle w:val="TenderBody"/>
        <w:jc w:val="center"/>
        <w:rPr>
          <w:rFonts w:hint="eastAsia"/>
        </w:rPr>
      </w:pPr>
      <w:r>
        <w:rPr>
          <w:rFonts w:hint="eastAsia"/>
        </w:rPr>
        <w:drawing>
          <wp:inline distT="0" distB="0" distL="0" distR="0">
            <wp:extent cx="2731135" cy="5922645"/>
            <wp:effectExtent l="0" t="0" r="0" b="0"/>
            <wp:docPr id="203451384" name="图片 33"/>
            <wp:cNvGraphicFramePr/>
            <a:graphic xmlns:a="http://schemas.openxmlformats.org/drawingml/2006/main">
              <a:graphicData uri="http://schemas.openxmlformats.org/drawingml/2006/picture">
                <pic:pic xmlns:pic="http://schemas.openxmlformats.org/drawingml/2006/picture">
                  <pic:nvPicPr>
                    <pic:cNvPr id="203451384" name="图片 33"/>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731135" cy="5922645"/>
                    </a:xfrm>
                    <a:prstGeom prst="rect">
                      <a:avLst/>
                    </a:prstGeom>
                    <a:noFill/>
                    <a:ln>
                      <a:noFill/>
                    </a:ln>
                    <a:effectLst/>
                  </pic:spPr>
                </pic:pic>
              </a:graphicData>
            </a:graphic>
          </wp:inline>
        </w:drawing>
      </w:r>
    </w:p>
    <w:p w14:paraId="5730337E">
      <w:pPr>
        <w:pStyle w:val="44"/>
        <w:numPr>
          <w:ilvl w:val="0"/>
          <w:numId w:val="12"/>
        </w:numPr>
        <w:tabs>
          <w:tab w:val="left" w:pos="482"/>
        </w:tabs>
        <w:ind w:left="0" w:firstLine="480"/>
        <w:rPr>
          <w:rFonts w:hint="eastAsia"/>
        </w:rPr>
      </w:pPr>
      <w:r>
        <w:rPr>
          <w:rFonts w:hint="eastAsia"/>
        </w:rPr>
        <w:t>服务器配置</w:t>
      </w:r>
    </w:p>
    <w:p w14:paraId="6F343F8A">
      <w:pPr>
        <w:pStyle w:val="TenderBody"/>
        <w:rPr>
          <w:rFonts w:hint="eastAsia"/>
          <w:kern w:val="0"/>
        </w:rPr>
      </w:pPr>
      <w:r>
        <w:rPr>
          <w:rFonts w:hint="eastAsia"/>
          <w:kern w:val="0"/>
        </w:rPr>
        <w:t>需要两台服务器，分别作为数据接收服务器和数据库服务器。在实际应用中，根据需要也可以合为一台服务器或者增加适当的冗余备份。</w:t>
      </w:r>
    </w:p>
    <w:p w14:paraId="42767802">
      <w:pPr>
        <w:pStyle w:val="TenderBody"/>
        <w:rPr>
          <w:rFonts w:hint="eastAsia"/>
          <w:kern w:val="0"/>
        </w:rPr>
      </w:pPr>
      <w:r>
        <w:rPr>
          <w:rFonts w:hint="eastAsia"/>
          <w:kern w:val="0"/>
        </w:rPr>
        <w:t>数据接收服务器和数据库服务器的硬件参考配置如下：Windows系统或Linux系统，戴尔R730XD标准配置(CPU 2个6核，32G内存)。</w:t>
      </w:r>
    </w:p>
    <w:p w14:paraId="55E6CDB3">
      <w:pPr>
        <w:pStyle w:val="TenderBody"/>
        <w:rPr>
          <w:kern w:val="0"/>
        </w:rPr>
      </w:pPr>
      <w:r>
        <w:rPr>
          <w:rFonts w:hint="eastAsia"/>
          <w:kern w:val="0"/>
        </w:rPr>
        <w:t>数据库服务器支持Oracle、SqlServer、Mysql 、PostgreSql、DB2等各种类型数据库，鉴于高频数据的数据量和成本需要，建议高频数据库采用PostgreSql数据库类型。</w:t>
      </w:r>
      <w:r>
        <w:rPr>
          <w:rFonts w:hint="eastAsia"/>
          <w:kern w:val="0"/>
        </w:rPr>
        <w:tab/>
      </w:r>
    </w:p>
    <w:p w14:paraId="126E383A">
      <w:pPr>
        <w:pStyle w:val="2"/>
        <w:ind w:firstLine="480"/>
        <w:rPr>
          <w:rFonts w:hint="eastAsia"/>
        </w:rPr>
      </w:pPr>
      <w:r>
        <w:rPr>
          <w:rFonts w:hint="eastAsia"/>
        </w:rPr>
        <w:t>支持麒麟、统信等操作系统，达梦、TDSQL、高斯、OceanBase等数据库，兼容主流的信创改造的操作系统和数据库环境方案。</w:t>
      </w:r>
    </w:p>
    <w:p>
      <w:pPr>
        <w:pStyle w:val="TenderBody"/>
        <w:rPr/>
      </w:pPr>
      <w:r>
        <w:t xml:space="preserve">我方接口与数据交换采用以下模式，按采购人实际系统环境选择：</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94"/>
        <w:gridCol w:w="1701"/>
        <w:gridCol w:w="1701"/>
        <w:gridCol w:w="1701"/>
        <w:gridCol w:w="1701"/>
      </w:tblGrid>
      <w:tr>
        <w:tc>
          <w:tcPr>
            <w:tcW w:type="dxa" w:w="1494"/>
            <w:shd w:val="clear" w:color="auto" w:fill="D9D9D9"/>
          </w:tcPr>
          <w:p>
            <w:pPr>
              <w:jc w:val="center"/>
            </w:pPr>
            <w:r>
              <w:rPr>
                <w:b/>
              </w:rPr>
              <w:t>接口调用模式（API）</w:t>
            </w:r>
          </w:p>
        </w:tc>
        <w:tc>
          <w:tcPr>
            <w:tcW w:type="dxa" w:w="1701"/>
            <w:shd w:val="clear" w:color="auto" w:fill="F2F2F2"/>
          </w:tcPr>
          <w:p>
            <w:pPr>
              <w:jc w:val="center"/>
            </w:pPr>
            <w:r>
              <w:t>HTTPS/专线加密传输</w:t>
            </w:r>
          </w:p>
        </w:tc>
        <w:tc>
          <w:tcPr>
            <w:tcW w:type="dxa" w:w="1701"/>
            <w:shd w:val="clear" w:color="auto" w:fill="F2F2F2"/>
          </w:tcPr>
          <w:p>
            <w:pPr>
              <w:jc w:val="center"/>
            </w:pPr>
            <w:r>
              <w:t>国密SM2加签验签</w:t>
            </w:r>
          </w:p>
        </w:tc>
        <w:tc>
          <w:tcPr>
            <w:tcW w:type="dxa" w:w="1701"/>
            <w:shd w:val="clear" w:color="auto" w:fill="F2F2F2"/>
          </w:tcPr>
          <w:p>
            <w:pPr>
              <w:jc w:val="center"/>
            </w:pPr>
            <w:r>
              <w:t>单笔响应约100ms、并发&gt;300</w:t>
            </w:r>
          </w:p>
        </w:tc>
        <w:tc>
          <w:tcPr>
            <w:tcW w:type="dxa" w:w="1701"/>
            <w:shd w:val="clear" w:color="auto" w:fill="F2F2F2"/>
          </w:tcPr>
          <w:p>
            <w:pPr>
              <w:jc w:val="center"/>
            </w:pPr>
            <w:r>
              <w:t>批量100万笔/次</w:t>
            </w:r>
          </w:p>
        </w:tc>
      </w:tr>
      <w:tr>
        <w:tc>
          <w:tcPr>
            <w:tcW w:type="dxa" w:w="1494"/>
          </w:tcPr>
          <w:p>
            <w:r>
              <w:t xml:space="preserve">层间调用</w:t>
            </w:r>
          </w:p>
        </w:tc>
        <w:tc>
          <w:tcPr>
            <w:tcW w:type="dxa" w:w="1701"/>
          </w:tcPr>
          <w:p/>
        </w:tc>
        <w:tc>
          <w:tcPr>
            <w:tcW w:type="dxa" w:w="1701"/>
          </w:tcPr>
          <w:p>
            <w:pPr>
              <w:jc w:val="center"/>
            </w:pPr>
            <w:r>
              <w:t xml:space="preserve">（层间调用）</w:t>
            </w:r>
          </w:p>
        </w:tc>
        <w:tc>
          <w:tcPr>
            <w:tcW w:type="dxa" w:w="1701"/>
          </w:tcPr>
          <w:p/>
        </w:tc>
        <w:tc>
          <w:tcPr>
            <w:tcW w:type="dxa" w:w="1701"/>
          </w:tcPr>
          <w:p/>
        </w:tc>
      </w:tr>
      <w:tr>
        <w:tc>
          <w:tcPr>
            <w:tcW w:type="dxa" w:w="1494"/>
            <w:shd w:val="clear" w:color="auto" w:fill="D9D9D9"/>
          </w:tcPr>
          <w:p>
            <w:pPr>
              <w:jc w:val="center"/>
            </w:pPr>
            <w:r>
              <w:rPr>
                <w:b/>
              </w:rPr>
              <w:t>数据库同步模式</w:t>
            </w:r>
          </w:p>
        </w:tc>
        <w:tc>
          <w:tcPr>
            <w:tcW w:type="dxa" w:w="1701"/>
            <w:shd w:val="clear" w:color="auto" w:fill="F2F2F2"/>
          </w:tcPr>
          <w:p>
            <w:pPr>
              <w:jc w:val="center"/>
            </w:pPr>
            <w:r>
              <w:t>历史数据批量导入</w:t>
            </w:r>
          </w:p>
        </w:tc>
        <w:tc>
          <w:tcPr>
            <w:tcW w:type="dxa" w:w="1701"/>
            <w:shd w:val="clear" w:color="auto" w:fill="F2F2F2"/>
          </w:tcPr>
          <w:p>
            <w:pPr>
              <w:jc w:val="center"/>
            </w:pPr>
            <w:r>
              <w:t>更新数据自动检测同步</w:t>
            </w:r>
          </w:p>
        </w:tc>
        <w:tc>
          <w:tcPr>
            <w:tcW w:type="dxa" w:w="1701"/>
            <w:shd w:val="clear" w:color="auto" w:fill="F2F2F2"/>
          </w:tcPr>
          <w:p>
            <w:pPr>
              <w:jc w:val="center"/>
            </w:pPr>
            <w:r>
              <w:t>同步监控与日志（每表每日记录数）</w:t>
            </w:r>
          </w:p>
        </w:tc>
        <w:tc>
          <w:tcPr>
            <w:tcW w:type="dxa" w:w="1701"/>
          </w:tcPr>
          <w:p/>
        </w:tc>
      </w:tr>
      <w:tr>
        <w:tc>
          <w:tcPr>
            <w:tcW w:type="dxa" w:w="1494"/>
          </w:tcPr>
          <w:p>
            <w:r>
              <w:t xml:space="preserve">层间调用</w:t>
            </w:r>
          </w:p>
        </w:tc>
        <w:tc>
          <w:tcPr>
            <w:tcW w:type="dxa" w:w="1701"/>
          </w:tcPr>
          <w:p/>
        </w:tc>
        <w:tc>
          <w:tcPr>
            <w:tcW w:type="dxa" w:w="1701"/>
          </w:tcPr>
          <w:p>
            <w:pPr>
              <w:jc w:val="center"/>
            </w:pPr>
            <w:r>
              <w:t xml:space="preserve">（层间调用）</w:t>
            </w:r>
          </w:p>
        </w:tc>
        <w:tc>
          <w:tcPr>
            <w:tcW w:type="dxa" w:w="1701"/>
          </w:tcPr>
          <w:p/>
        </w:tc>
        <w:tc>
          <w:tcPr>
            <w:tcW w:type="dxa" w:w="1701"/>
          </w:tcPr>
          <w:p/>
        </w:tc>
      </w:tr>
      <w:tr>
        <w:tc>
          <w:tcPr>
            <w:tcW w:type="dxa" w:w="1494"/>
            <w:shd w:val="clear" w:color="auto" w:fill="D9D9D9"/>
          </w:tcPr>
          <w:p>
            <w:pPr>
              <w:jc w:val="center"/>
            </w:pPr>
            <w:r>
              <w:rPr>
                <w:b/>
              </w:rPr>
              <w:t>传输通道</w:t>
            </w:r>
          </w:p>
        </w:tc>
        <w:tc>
          <w:tcPr>
            <w:tcW w:type="dxa" w:w="1701"/>
            <w:shd w:val="clear" w:color="auto" w:fill="F2F2F2"/>
          </w:tcPr>
          <w:p>
            <w:pPr>
              <w:jc w:val="center"/>
            </w:pPr>
            <w:r>
              <w:t>光纤专线</w:t>
            </w:r>
          </w:p>
        </w:tc>
        <w:tc>
          <w:tcPr>
            <w:tcW w:type="dxa" w:w="1701"/>
            <w:shd w:val="clear" w:color="auto" w:fill="F2F2F2"/>
          </w:tcPr>
          <w:p>
            <w:pPr>
              <w:jc w:val="center"/>
            </w:pPr>
            <w:r>
              <w:t>VPN加密通道</w:t>
            </w:r>
          </w:p>
        </w:tc>
        <w:tc>
          <w:tcPr>
            <w:tcW w:type="dxa" w:w="1701"/>
            <w:shd w:val="clear" w:color="auto" w:fill="F2F2F2"/>
          </w:tcPr>
          <w:p>
            <w:pPr>
              <w:jc w:val="center"/>
            </w:pPr>
            <w:r>
              <w:t>IP白名单+MAC绑定认证</w:t>
            </w:r>
          </w:p>
        </w:tc>
        <w:tc>
          <w:tcPr>
            <w:tcW w:type="dxa" w:w="1701"/>
          </w:tcPr>
          <w:p/>
        </w:tc>
      </w:tr>
    </w:tbl>
    <w:p>
      <w:pPr>
        <w:pStyle w:val="TenderCaption"/>
        <w:jc w:val="center"/>
      </w:pPr>
      <w:commentRangeStart w:id="7"/>
      <w:r>
        <w:t xml:space="preserve">图 6-3 数据交互模式</w:t>
      </w:r>
      <w:commentRangeEnd w:id="7"/>
      <w:r>
        <w:rPr>
          <w:rStyle w:val="CommentReference"/>
        </w:rPr>
        <w:commentReference w:id="7"/>
      </w:r>
    </w:p>
    <w:p w14:paraId="296FC7A3">
      <w:pPr>
        <w:pStyle w:val="Heading5"/>
        <w:bidi w:val="0"/>
        <w:ind w:left="864" w:leftChars="0" w:hanging="864" w:firstLineChars="0"/>
        <w:outlineLvl w:val="9"/>
        <w:rPr>
          <w:rFonts w:hint="eastAsia"/>
        </w:rPr>
      </w:pPr>
      <w:r>
        <w:rPr>
          <w:rFonts w:hint="eastAsia"/>
        </w:rPr>
        <w:t>数据接口方式（API）</w:t>
      </w:r>
    </w:p>
    <w:p w14:paraId="404A8564">
      <w:pPr>
        <w:pStyle w:val="TenderBody"/>
        <w:rPr>
          <w:rFonts w:hint="eastAsia"/>
          <w:kern w:val="0"/>
        </w:rPr>
      </w:pPr>
      <w:r>
        <w:rPr>
          <w:rFonts w:hint="eastAsia"/>
          <w:kern w:val="0"/>
        </w:rPr>
        <w:t xml:space="preserve">我方可提供数据接口，供采购人通过调用该接口的方式获取数据。目前我方已有部分现成接口，支持根据采购项目需求定制开发接口。</w:t>
      </w:r>
    </w:p>
    <w:p w14:paraId="05EC2A9E">
      <w:pPr>
        <w:pStyle w:val="TenderBody"/>
        <w:rPr>
          <w:rFonts w:hint="eastAsia"/>
          <w:kern w:val="0"/>
        </w:rPr>
      </w:pPr>
      <w:r>
        <w:rPr>
          <w:rFonts w:hint="eastAsia"/>
          <w:kern w:val="0"/>
        </w:rPr>
        <w:t xml:space="preserve">我方系统实现了清晰的层次划分和明确的接口定义，架构实现高内聚低耦合，模块内各元素联系的紧密性高，模块之间相对独立，保证架构的简单和优雅。</w:t>
      </w:r>
    </w:p>
    <w:p w14:paraId="502BA858">
      <w:pPr>
        <w:pStyle w:val="TenderBody"/>
        <w:rPr>
          <w:rFonts w:hint="eastAsia"/>
        </w:rPr>
      </w:pPr>
      <w:r>
        <w:rPr>
          <w:rFonts w:hint="eastAsia"/>
          <w:kern w:val="0"/>
        </w:rPr>
        <w:t xml:space="preserve">我方系统架构能够便捷、快速地与其他系统进行集成融合，系统支持丰富便捷的外部 API 接口，以方便其他系统的对接。云端模式与落地化模式均支持，并且能够提供API等规范化的接口文档支持二次开发。</w:t>
      </w:r>
      <w:r>
        <w:rPr>
          <w:rFonts w:hint="eastAsia"/>
          <w:kern w:val="0"/>
        </w:rPr>
        <w:t xml:space="preserve"> </w:t>
      </w:r>
    </w:p>
    <w:p w14:paraId="35E6139B">
      <w:pPr>
        <w:pStyle w:val="TenderBody"/>
        <w:rPr>
          <w:rFonts w:hint="eastAsia"/>
        </w:rPr>
      </w:pPr>
      <w:r>
        <w:rPr>
          <w:rFonts w:hint="eastAsia"/>
        </w:rPr>
        <w:drawing>
          <wp:inline distT="0" distB="0" distL="0" distR="0">
            <wp:extent cx="5274310" cy="4341495"/>
            <wp:effectExtent l="0" t="0" r="2540" b="1905"/>
            <wp:docPr id="1891106001" name="图片 32" descr="图形用户界面&#10;&#10;中度可信度描述已自动生成"/>
            <wp:cNvGraphicFramePr/>
            <a:graphic xmlns:a="http://schemas.openxmlformats.org/drawingml/2006/main">
              <a:graphicData uri="http://schemas.openxmlformats.org/drawingml/2006/picture">
                <pic:pic xmlns:pic="http://schemas.openxmlformats.org/drawingml/2006/picture">
                  <pic:nvPicPr>
                    <pic:cNvPr id="1891106001" name="图片 32" descr="图形用户界面&#10;&#10;中度可信度描述已自动生成"/>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4341495"/>
                    </a:xfrm>
                    <a:prstGeom prst="rect">
                      <a:avLst/>
                    </a:prstGeom>
                    <a:noFill/>
                    <a:ln>
                      <a:noFill/>
                    </a:ln>
                    <a:effectLst/>
                  </pic:spPr>
                </pic:pic>
              </a:graphicData>
            </a:graphic>
          </wp:inline>
        </w:drawing>
      </w:r>
    </w:p>
    <w:p w14:paraId="568B00C4">
      <w:pPr>
        <w:pStyle w:val="TenderBody"/>
        <w:rPr>
          <w:rFonts w:hint="eastAsia"/>
        </w:rPr>
      </w:pPr>
      <w:r>
        <w:rPr>
          <w:rFonts w:hint="eastAsia"/>
        </w:rPr>
        <w:drawing>
          <wp:inline distT="0" distB="0" distL="0" distR="0">
            <wp:extent cx="5274310" cy="4377690"/>
            <wp:effectExtent l="0" t="0" r="2540" b="3810"/>
            <wp:docPr id="1506876838" name="图片 31" descr="图形用户界面, 应用程序&#10;&#10;描述已自动生成"/>
            <wp:cNvGraphicFramePr/>
            <a:graphic xmlns:a="http://schemas.openxmlformats.org/drawingml/2006/main">
              <a:graphicData uri="http://schemas.openxmlformats.org/drawingml/2006/picture">
                <pic:pic xmlns:pic="http://schemas.openxmlformats.org/drawingml/2006/picture">
                  <pic:nvPicPr>
                    <pic:cNvPr id="1506876838" name="图片 31" descr="图形用户界面, 应用程序&#10;&#10;描述已自动生成"/>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74310" cy="4377690"/>
                    </a:xfrm>
                    <a:prstGeom prst="rect">
                      <a:avLst/>
                    </a:prstGeom>
                    <a:noFill/>
                    <a:ln>
                      <a:noFill/>
                    </a:ln>
                    <a:effectLst/>
                  </pic:spPr>
                </pic:pic>
              </a:graphicData>
            </a:graphic>
          </wp:inline>
        </w:drawing>
      </w:r>
    </w:p>
    <w:p w14:paraId="2DA948C7">
      <w:pPr>
        <w:pStyle w:val="TenderBody"/>
        <w:rPr>
          <w:rFonts w:hint="eastAsia"/>
        </w:rPr>
      </w:pPr>
      <w:r>
        <w:rPr>
          <w:rFonts w:hint="eastAsia"/>
        </w:rPr>
        <w:drawing>
          <wp:inline distT="0" distB="0" distL="0" distR="0">
            <wp:extent cx="5274310" cy="4424680"/>
            <wp:effectExtent l="0" t="0" r="2540" b="0"/>
            <wp:docPr id="2043784231" name="图片 30" descr="图形用户界面, 文本, 应用程序&#10;&#10;描述已自动生成"/>
            <wp:cNvGraphicFramePr/>
            <a:graphic xmlns:a="http://schemas.openxmlformats.org/drawingml/2006/main">
              <a:graphicData uri="http://schemas.openxmlformats.org/drawingml/2006/picture">
                <pic:pic xmlns:pic="http://schemas.openxmlformats.org/drawingml/2006/picture">
                  <pic:nvPicPr>
                    <pic:cNvPr id="2043784231" name="图片 30" descr="图形用户界面, 文本, 应用程序&#10;&#10;描述已自动生成"/>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4424680"/>
                    </a:xfrm>
                    <a:prstGeom prst="rect">
                      <a:avLst/>
                    </a:prstGeom>
                    <a:noFill/>
                    <a:ln>
                      <a:noFill/>
                    </a:ln>
                    <a:effectLst/>
                  </pic:spPr>
                </pic:pic>
              </a:graphicData>
            </a:graphic>
          </wp:inline>
        </w:drawing>
      </w:r>
    </w:p>
    <w:p w14:paraId="5259D182">
      <w:pPr>
        <w:pStyle w:val="20"/>
        <w:widowControl/>
        <w:shd w:val="clear" w:color="auto" w:fill="FFFFFF"/>
        <w:ind w:firstLine="480"/>
        <w:rPr>
          <w:rFonts w:ascii="Times New Roman" w:hAnsi="Times New Roman"/>
          <w:kern w:val="44"/>
        </w:rPr>
      </w:pPr>
      <w:r>
        <w:rPr>
          <w:rFonts w:ascii="Times New Roman" w:hAnsi="Times New Roman"/>
          <w:kern w:val="44"/>
        </w:rPr>
        <w:t>接口处理性能：</w:t>
      </w:r>
    </w:p>
    <w:p w14:paraId="5AC7528C">
      <w:pPr>
        <w:pStyle w:val="20"/>
        <w:widowControl/>
        <w:shd w:val="clear" w:color="auto" w:fill="FFFFFF"/>
        <w:ind w:firstLine="480"/>
        <w:rPr>
          <w:rFonts w:ascii="Times New Roman" w:hAnsi="Times New Roman"/>
          <w:snapToGrid w:val="0"/>
        </w:rPr>
      </w:pPr>
      <w:r>
        <w:rPr>
          <w:rFonts w:ascii="Times New Roman" w:hAnsi="Times New Roman"/>
          <w:kern w:val="44"/>
        </w:rPr>
        <w:t xml:space="preserve">单笔接口并发数大于300，平均响应时间100ms，批量支持100万笔每次，处理时间最多1小时并返回结果。能够使用HTTPS传输或专线传输，接口发出请求后我方能够根据请求将查询结果以加密形式返回。</w:t>
      </w:r>
    </w:p>
    <w:p w14:paraId="2BB6BB66">
      <w:pPr>
        <w:pStyle w:val="20"/>
        <w:widowControl/>
        <w:shd w:val="clear" w:color="auto" w:fill="FFFFFF"/>
        <w:ind w:firstLine="0" w:firstLineChars="0"/>
        <w:rPr>
          <w:rFonts w:ascii="Times New Roman" w:hAnsi="Times New Roman"/>
        </w:rPr>
      </w:pPr>
      <w:r>
        <w:rPr>
          <w:rFonts w:ascii="Times New Roman" w:hAnsi="Times New Roman"/>
        </w:rPr>
        <w:drawing>
          <wp:inline distT="0" distB="0" distL="0" distR="0">
            <wp:extent cx="5274310" cy="1684655"/>
            <wp:effectExtent l="0" t="0" r="2540" b="0"/>
            <wp:docPr id="307903703" name="图片 29" descr="图表, 折线图&#10;&#10;描述已自动生成"/>
            <wp:cNvGraphicFramePr/>
            <a:graphic xmlns:a="http://schemas.openxmlformats.org/drawingml/2006/main">
              <a:graphicData uri="http://schemas.openxmlformats.org/drawingml/2006/picture">
                <pic:pic xmlns:pic="http://schemas.openxmlformats.org/drawingml/2006/picture">
                  <pic:nvPicPr>
                    <pic:cNvPr id="307903703" name="图片 29" descr="图表, 折线图&#10;&#10;描述已自动生成"/>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1684655"/>
                    </a:xfrm>
                    <a:prstGeom prst="rect">
                      <a:avLst/>
                    </a:prstGeom>
                    <a:noFill/>
                    <a:ln>
                      <a:noFill/>
                    </a:ln>
                    <a:effectLst/>
                  </pic:spPr>
                </pic:pic>
              </a:graphicData>
            </a:graphic>
          </wp:inline>
        </w:drawing>
      </w:r>
    </w:p>
    <w:p w14:paraId="1C3FF92B">
      <w:pPr>
        <w:pStyle w:val="20"/>
        <w:widowControl/>
        <w:shd w:val="clear" w:color="auto" w:fill="FFFFFF"/>
        <w:ind w:firstLine="0" w:firstLineChars="0"/>
        <w:jc w:val="center"/>
        <w:rPr>
          <w:rFonts w:ascii="Times New Roman" w:hAnsi="Times New Roman"/>
          <w:b/>
          <w:bCs/>
        </w:rPr>
      </w:pPr>
      <w:r>
        <w:rPr>
          <w:rFonts w:ascii="Times New Roman" w:hAnsi="Times New Roman"/>
          <w:b/>
          <w:bCs/>
        </w:rPr>
        <w:t xml:space="preserve">单笔接口平均响应时间</w:t>
      </w:r>
    </w:p>
    <w:p w14:paraId="5D46BA8A">
      <w:pPr>
        <w:pStyle w:val="20"/>
        <w:widowControl/>
        <w:shd w:val="clear" w:color="auto" w:fill="FFFFFF"/>
        <w:ind w:firstLine="0" w:firstLineChars="0"/>
        <w:rPr>
          <w:rFonts w:ascii="Times New Roman" w:hAnsi="Times New Roman"/>
        </w:rPr>
      </w:pPr>
      <w:r>
        <w:rPr>
          <w:rFonts w:ascii="Times New Roman" w:hAnsi="Times New Roman"/>
        </w:rPr>
        <w:drawing>
          <wp:inline distT="0" distB="0" distL="0" distR="0">
            <wp:extent cx="5274310" cy="2554605"/>
            <wp:effectExtent l="0" t="0" r="2540" b="0"/>
            <wp:docPr id="1077790131" name="图片 28" descr="图表, 折线图, 散点图&#10;&#10;描述已自动生成"/>
            <wp:cNvGraphicFramePr/>
            <a:graphic xmlns:a="http://schemas.openxmlformats.org/drawingml/2006/main">
              <a:graphicData uri="http://schemas.openxmlformats.org/drawingml/2006/picture">
                <pic:pic xmlns:pic="http://schemas.openxmlformats.org/drawingml/2006/picture">
                  <pic:nvPicPr>
                    <pic:cNvPr id="1077790131" name="图片 28" descr="图表, 折线图, 散点图&#10;&#10;描述已自动生成"/>
                    <pic:cNvPicPr>
                      <a:picLocks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74310" cy="2554605"/>
                    </a:xfrm>
                    <a:prstGeom prst="rect">
                      <a:avLst/>
                    </a:prstGeom>
                    <a:noFill/>
                    <a:ln>
                      <a:noFill/>
                    </a:ln>
                    <a:effectLst/>
                  </pic:spPr>
                </pic:pic>
              </a:graphicData>
            </a:graphic>
          </wp:inline>
        </w:drawing>
      </w:r>
    </w:p>
    <w:p w14:paraId="7D6F2AC1">
      <w:pPr>
        <w:pStyle w:val="20"/>
        <w:widowControl/>
        <w:shd w:val="clear" w:color="auto" w:fill="FFFFFF"/>
        <w:ind w:firstLine="0" w:firstLineChars="0"/>
        <w:jc w:val="center"/>
        <w:rPr>
          <w:rFonts w:hint="default" w:ascii="Times New Roman" w:hAnsi="Times New Roman"/>
          <w:b/>
          <w:bCs/>
        </w:rPr>
      </w:pPr>
      <w:r>
        <w:rPr>
          <w:rFonts w:ascii="Times New Roman" w:hAnsi="Times New Roman"/>
          <w:b/>
          <w:bCs/>
        </w:rPr>
        <w:t xml:space="preserve">单笔接口并发数</w:t>
      </w:r>
    </w:p>
    <w:p w14:paraId="65906DAD">
      <w:pPr>
        <w:pStyle w:val="Heading5"/>
        <w:bidi w:val="0"/>
        <w:ind w:left="864" w:leftChars="0" w:hanging="864" w:firstLineChars="0"/>
        <w:outlineLvl w:val="9"/>
        <w:rPr>
          <w:rFonts w:hint="eastAsia"/>
        </w:rPr>
      </w:pPr>
      <w:r>
        <w:rPr>
          <w:rFonts w:hint="eastAsia"/>
        </w:rPr>
        <w:t>数据加密方案</w:t>
      </w:r>
    </w:p>
    <w:p w14:paraId="70CC768A">
      <w:pPr>
        <w:pStyle w:val="TenderBody"/>
        <w:ind w:firstLine="482"/>
        <w:rPr>
          <w:rFonts w:hint="eastAsia"/>
          <w:b/>
          <w:bCs/>
        </w:rPr>
      </w:pPr>
      <w:r>
        <w:rPr>
          <w:rFonts w:hint="eastAsia"/>
          <w:b/>
          <w:bCs/>
        </w:rPr>
        <w:t>API接口方案：</w:t>
      </w:r>
    </w:p>
    <w:p w14:paraId="6EEC6D2A">
      <w:pPr>
        <w:pStyle w:val="TenderBody"/>
        <w:rPr>
          <w:rFonts w:hint="eastAsia"/>
        </w:rPr>
      </w:pPr>
      <w:r>
        <w:rPr>
          <w:rFonts w:hint="eastAsia"/>
        </w:rPr>
        <w:t xml:space="preserve">我方承诺：</w:t>
      </w:r>
    </w:p>
    <w:p w14:paraId="7F24C6C9">
      <w:pPr>
        <w:pStyle w:val="TenderBody"/>
        <w:rPr>
          <w:rFonts w:hint="eastAsia"/>
        </w:rPr>
      </w:pPr>
      <w:r>
        <w:rPr>
          <w:rFonts w:hint="eastAsia"/>
        </w:rPr>
        <w:t xml:space="preserve">对采购人查询返回的数据文件采用国密SM2算法加签验签，并按采购人要求的方式加密返回。</w:t>
      </w:r>
    </w:p>
    <w:p w14:paraId="40EB07D4">
      <w:pPr>
        <w:pStyle w:val="TenderBody"/>
        <w:rPr>
          <w:rFonts w:hint="eastAsia"/>
        </w:rPr>
      </w:pPr>
      <w:r>
        <w:rPr>
          <w:rFonts w:hint="eastAsia"/>
        </w:rPr>
        <w:t xml:space="preserve">对通信安全、会话安全及数据安全做保证，防止信息泄露。</w:t>
      </w:r>
      <w:r>
        <w:rPr>
          <w:rFonts w:hint="eastAsia"/>
        </w:rPr>
        <w:t xml:space="preserve">发生信息泄露情形，能够在1小时内通报采购人，并在24小时内提交正式报告。</w:t>
      </w:r>
      <w:r>
        <w:rPr>
          <w:rFonts w:hint="eastAsia"/>
        </w:rPr>
        <w:t xml:space="preserve">通信安全方法包括证书、IP地址白名单等方法，会话安全包括合作方标识+秘钥、IP地址白名单+登录、渠道号+秘钥、账号+秘钥等方法，数据安全包括报文MAC校验、关键信息加密等方法。</w:t>
      </w:r>
    </w:p>
    <w:p w14:paraId="13981EC5">
      <w:pPr>
        <w:pStyle w:val="TenderBody"/>
        <w:rPr>
          <w:rFonts w:hint="eastAsia"/>
        </w:rPr>
      </w:pPr>
      <w:r>
        <w:rPr>
          <w:rFonts w:hint="eastAsia"/>
        </w:rPr>
        <w:drawing>
          <wp:inline distT="0" distB="0" distL="0" distR="0">
            <wp:extent cx="5274310" cy="3440430"/>
            <wp:effectExtent l="0" t="0" r="2540" b="7620"/>
            <wp:docPr id="584199806" name="图片 61" descr="screensh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99806" name="图片 61" descr="screensho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3440430"/>
                    </a:xfrm>
                    <a:prstGeom prst="rect">
                      <a:avLst/>
                    </a:prstGeom>
                    <a:noFill/>
                    <a:ln>
                      <a:noFill/>
                    </a:ln>
                  </pic:spPr>
                </pic:pic>
              </a:graphicData>
            </a:graphic>
          </wp:inline>
        </w:drawing>
      </w:r>
    </w:p>
    <w:p w14:paraId="4DE11B5F">
      <w:pPr>
        <w:pStyle w:val="TenderBody"/>
        <w:rPr>
          <w:rFonts w:hint="eastAsia"/>
        </w:rPr>
      </w:pPr>
      <w:r>
        <w:drawing>
          <wp:inline distT="0" distB="0" distL="0" distR="0">
            <wp:extent cx="5274310" cy="4054475"/>
            <wp:effectExtent l="0" t="0" r="2540" b="3175"/>
            <wp:docPr id="170823508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35087" name="图片 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4054475"/>
                    </a:xfrm>
                    <a:prstGeom prst="rect">
                      <a:avLst/>
                    </a:prstGeom>
                    <a:noFill/>
                    <a:ln>
                      <a:noFill/>
                    </a:ln>
                  </pic:spPr>
                </pic:pic>
              </a:graphicData>
            </a:graphic>
          </wp:inline>
        </w:drawing>
      </w:r>
    </w:p>
    <w:p w14:paraId="4FE3E101">
      <w:pPr>
        <w:pStyle w:val="TenderBody"/>
        <w:ind w:firstLine="482"/>
        <w:rPr>
          <w:rFonts w:hint="eastAsia"/>
          <w:b/>
          <w:bCs/>
        </w:rPr>
      </w:pPr>
      <w:r>
        <w:rPr>
          <w:rFonts w:hint="eastAsia"/>
          <w:b/>
          <w:bCs/>
        </w:rPr>
        <w:t>数据同步方案：</w:t>
      </w:r>
    </w:p>
    <w:p w14:paraId="743BC6DD">
      <w:pPr>
        <w:pStyle w:val="TenderBody"/>
        <w:rPr>
          <w:rFonts w:hint="eastAsia"/>
        </w:rPr>
      </w:pPr>
      <w:r>
        <w:rPr>
          <w:rFonts w:hint="eastAsia"/>
        </w:rPr>
        <w:t xml:space="preserve">我方承诺：</w:t>
      </w:r>
    </w:p>
    <w:p w14:paraId="344914E1">
      <w:pPr>
        <w:pStyle w:val="TenderBody"/>
        <w:rPr>
          <w:rFonts w:hint="eastAsia"/>
        </w:rPr>
      </w:pPr>
      <w:r>
        <w:rPr>
          <w:rFonts w:hint="eastAsia"/>
        </w:rPr>
        <w:t>数据采用加密方式传输，实施敏感数据匿名化处理，提供有效的安全措施能够防范数据泄露风险。</w:t>
      </w:r>
    </w:p>
    <w:p w14:paraId="72B2DAAB">
      <w:pPr>
        <w:pStyle w:val="TenderBody"/>
        <w:rPr>
          <w:rFonts w:hint="eastAsia"/>
        </w:rPr>
      </w:pPr>
      <w:r>
        <w:rPr>
          <w:rFonts w:hint="eastAsia"/>
        </w:rPr>
        <w:t>详细数据加密方案如下：</w:t>
      </w:r>
    </w:p>
    <w:p w14:paraId="527BD7A4">
      <w:pPr>
        <w:pStyle w:val="TenderBody"/>
        <w:rPr>
          <w:rFonts w:hint="eastAsia"/>
        </w:rPr>
      </w:pPr>
      <w:r>
        <w:rPr>
          <w:rFonts w:hint="eastAsia"/>
        </w:rPr>
        <w:t xml:space="preserve">用户认证服务由我方统一认证中心提供，账号与部署机器MAC地址绑定，确保账号安全性。</w:t>
      </w:r>
    </w:p>
    <w:p w14:paraId="740CA2CA">
      <w:pPr>
        <w:pStyle w:val="TenderBody"/>
        <w:rPr>
          <w:rFonts w:hint="eastAsia"/>
        </w:rPr>
      </w:pPr>
      <w:r>
        <w:rPr>
          <w:rFonts w:hint="eastAsia"/>
        </w:rPr>
        <w:drawing>
          <wp:inline distT="0" distB="0" distL="0" distR="0">
            <wp:extent cx="5274310" cy="715645"/>
            <wp:effectExtent l="0" t="0" r="2540" b="8255"/>
            <wp:docPr id="777155019" name="图片 59" descr="图形用户界面, 应用程序&#10;&#10;描述已自动生成"/>
            <wp:cNvGraphicFramePr/>
            <a:graphic xmlns:a="http://schemas.openxmlformats.org/drawingml/2006/main">
              <a:graphicData uri="http://schemas.openxmlformats.org/drawingml/2006/picture">
                <pic:pic xmlns:pic="http://schemas.openxmlformats.org/drawingml/2006/picture">
                  <pic:nvPicPr>
                    <pic:cNvPr id="777155019" name="图片 59" descr="图形用户界面, 应用程序&#10;&#10;描述已自动生成"/>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715645"/>
                    </a:xfrm>
                    <a:prstGeom prst="rect">
                      <a:avLst/>
                    </a:prstGeom>
                    <a:noFill/>
                    <a:ln>
                      <a:noFill/>
                    </a:ln>
                    <a:effectLst/>
                  </pic:spPr>
                </pic:pic>
              </a:graphicData>
            </a:graphic>
          </wp:inline>
        </w:drawing>
      </w:r>
    </w:p>
    <w:p w14:paraId="23CE1506">
      <w:pPr>
        <w:pStyle w:val="TenderBody"/>
        <w:rPr>
          <w:rFonts w:hint="eastAsia"/>
        </w:rPr>
      </w:pPr>
      <w:r>
        <w:rPr>
          <w:rFonts w:hint="eastAsia"/>
        </w:rPr>
        <w:t xml:space="preserve">同步客户端与服务端之间交互采用HTTPS协议，传输过程使用国密算法加签验签加密，保证数据传输过程中的安全性。</w:t>
      </w:r>
    </w:p>
    <w:p w14:paraId="3409418D">
      <w:pPr>
        <w:pStyle w:val="TenderBody"/>
        <w:rPr>
          <w:rFonts w:hint="eastAsia"/>
        </w:rPr>
      </w:pPr>
      <w:r>
        <w:rPr>
          <w:rFonts w:hint="eastAsia"/>
        </w:rPr>
        <w:drawing>
          <wp:inline distT="0" distB="0" distL="0" distR="0">
            <wp:extent cx="5274310" cy="860425"/>
            <wp:effectExtent l="0" t="0" r="2540" b="0"/>
            <wp:docPr id="85826142" name="图片 58" descr="文本&#10;&#10;描述已自动生成"/>
            <wp:cNvGraphicFramePr/>
            <a:graphic xmlns:a="http://schemas.openxmlformats.org/drawingml/2006/main">
              <a:graphicData uri="http://schemas.openxmlformats.org/drawingml/2006/picture">
                <pic:pic xmlns:pic="http://schemas.openxmlformats.org/drawingml/2006/picture">
                  <pic:nvPicPr>
                    <pic:cNvPr id="85826142" name="图片 58" descr="文本&#10;&#10;描述已自动生成"/>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860425"/>
                    </a:xfrm>
                    <a:prstGeom prst="rect">
                      <a:avLst/>
                    </a:prstGeom>
                    <a:noFill/>
                    <a:ln>
                      <a:noFill/>
                    </a:ln>
                    <a:effectLst/>
                  </pic:spPr>
                </pic:pic>
              </a:graphicData>
            </a:graphic>
          </wp:inline>
        </w:drawing>
      </w:r>
    </w:p>
    <w:p w14:paraId="622484CE">
      <w:pPr>
        <w:pStyle w:val="TenderBody"/>
        <w:rPr>
          <w:rFonts w:hint="eastAsia"/>
        </w:rPr>
      </w:pPr>
      <w:r>
        <w:rPr>
          <w:rFonts w:hint="eastAsia"/>
        </w:rPr>
        <w:t xml:space="preserve">数据文件额外采用国密SM4分组加密算法加解密，保证数据文件的安全性，防止文件泄漏。</w:t>
      </w:r>
    </w:p>
    <w:p w14:paraId="2E07B0B9">
      <w:pPr>
        <w:pStyle w:val="TenderBody"/>
        <w:rPr>
          <w:rFonts w:hint="eastAsia"/>
        </w:rPr>
      </w:pPr>
      <w:r>
        <w:rPr>
          <w:rFonts w:hint="eastAsia"/>
        </w:rPr>
        <w:drawing>
          <wp:inline distT="0" distB="0" distL="0" distR="0">
            <wp:extent cx="5274310" cy="2276475"/>
            <wp:effectExtent l="0" t="0" r="2540" b="9525"/>
            <wp:docPr id="1197382672" name="图片 57" descr="文本&#10;&#10;描述已自动生成"/>
            <wp:cNvGraphicFramePr/>
            <a:graphic xmlns:a="http://schemas.openxmlformats.org/drawingml/2006/main">
              <a:graphicData uri="http://schemas.openxmlformats.org/drawingml/2006/picture">
                <pic:pic xmlns:pic="http://schemas.openxmlformats.org/drawingml/2006/picture">
                  <pic:nvPicPr>
                    <pic:cNvPr id="1197382672" name="图片 57" descr="文本&#10;&#10;描述已自动生成"/>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2276475"/>
                    </a:xfrm>
                    <a:prstGeom prst="rect">
                      <a:avLst/>
                    </a:prstGeom>
                    <a:noFill/>
                    <a:ln>
                      <a:noFill/>
                    </a:ln>
                    <a:effectLst/>
                  </pic:spPr>
                </pic:pic>
              </a:graphicData>
            </a:graphic>
          </wp:inline>
        </w:drawing>
      </w:r>
    </w:p>
    <w:p>
      <w:pPr>
        <w:pStyle w:val="Heading2"/>
      </w:pPr>
      <w:r>
        <w:t>6.4 数据安全与数据质量及连续性保障方案</w:t>
      </w:r>
    </w:p>
    <w:p>
      <w:pPr>
        <w:pStyle w:val="Heading3"/>
        <w:outlineLvl w:val="9"/>
        <w:rPr/>
      </w:pPr>
      <w:r>
        <w:t xml:space="preserve">6.4.1 数据安全</w:t>
      </w:r>
    </w:p>
    <w:p w14:paraId="22BC23BF">
      <w:pPr>
        <w:pStyle w:val="Heading6"/>
        <w:bidi w:val="0"/>
        <w:ind w:left="1008" w:leftChars="0" w:hanging="1008" w:firstLineChars="0"/>
        <w:outlineLvl w:val="9"/>
      </w:pPr>
      <w:r>
        <w:rPr>
          <w:rFonts w:hint="eastAsia"/>
        </w:rPr>
        <w:t>数据质量控制</w:t>
      </w:r>
    </w:p>
    <w:p w14:paraId="26B41840">
      <w:pPr>
        <w:pStyle w:val="TenderBody"/>
        <w:numPr>
          <w:ilvl w:val="0"/>
          <w:numId w:val="11"/>
        </w:numPr>
        <w:ind w:left="900"/>
      </w:pPr>
      <w:r>
        <w:rPr>
          <w:rFonts w:hint="eastAsia"/>
        </w:rPr>
        <w:t>数据质量控制流程</w:t>
      </w:r>
    </w:p>
    <w:p w14:paraId="66131C20">
      <w:pPr>
        <w:pStyle w:val="TenderBody"/>
      </w:pPr>
      <w:r>
        <w:rPr>
          <w:rFonts w:hint="eastAsia"/>
        </w:rPr>
        <w:t>完善的数据质量控制流程，形成事前预防、事中监控、事后纠正总结的闭环流程，不断提升数据质量。</w:t>
      </w:r>
    </w:p>
    <w:p w14:paraId="062ADF68">
      <w:pPr>
        <w:pStyle w:val="TenderBody"/>
      </w:pPr>
      <w:r>
        <w:rPr>
          <w:rFonts w:hint="eastAsia"/>
        </w:rPr>
        <w:t>事前预防：制定规划好统一的数据标准，从数据的采集、加工、处理、存储都有对应的规则，把非法的数据，有问题的数据拒之门外；</w:t>
      </w:r>
    </w:p>
    <w:p w14:paraId="35C93BD9">
      <w:pPr>
        <w:pStyle w:val="TenderBody"/>
      </w:pPr>
      <w:r>
        <w:rPr>
          <w:rFonts w:hint="eastAsia"/>
        </w:rPr>
        <w:t>事中校验监控：对数据的准确性、及时性、完整性做监控，邮件、短信、vanish通知到对应的数据负责人，主动发现数据问题；</w:t>
      </w:r>
    </w:p>
    <w:p w14:paraId="0409CDFA">
      <w:pPr>
        <w:pStyle w:val="TenderBody"/>
      </w:pPr>
      <w:r>
        <w:rPr>
          <w:rFonts w:hint="eastAsia"/>
        </w:rPr>
        <w:t xml:space="preserve">事后纠正：数据问题第一时间更改线上问题数据，分析原因并以业务知识沉淀下来，形成校验规则归入事前预防，循环往复，避免在同一个地方跌倒两次。对采购人提出的服务结果异议复核请求，我方及时核实并书面回复，复核确认属数据质量问题的，按双方约定处理。</w:t>
      </w:r>
    </w:p>
    <w:p w14:paraId="072F90A5">
      <w:pPr>
        <w:pStyle w:val="TenderBody"/>
        <w:numPr>
          <w:ilvl w:val="0"/>
          <w:numId w:val="11"/>
        </w:numPr>
        <w:ind w:left="900"/>
      </w:pPr>
      <w:r>
        <w:rPr>
          <w:rFonts w:hint="eastAsia"/>
        </w:rPr>
        <w:t>数据质量控制平台</w:t>
      </w:r>
    </w:p>
    <w:p>
      <w:pPr>
        <w:jc w:val="center"/>
        <w:rPr/>
      </w:pPr>
      <w:r>
        <w:drawing>
          <wp:inline xmlns:a="http://schemas.openxmlformats.org/drawingml/2006/main" xmlns:pic="http://schemas.openxmlformats.org/drawingml/2006/picture">
            <wp:extent cx="1372610" cy="6480000"/>
            <wp:docPr id="1928363213" name="Picture 19283632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372610" cy="6480000"/>
                    </a:xfrm>
                    <a:prstGeom prst="rect"/>
                  </pic:spPr>
                </pic:pic>
              </a:graphicData>
            </a:graphic>
          </wp:inline>
        </w:drawing>
      </w:r>
    </w:p>
    <w:p>
      <w:pPr>
        <w:pStyle w:val="TenderCaption"/>
        <w:jc w:val="center"/>
      </w:pPr>
      <w:r>
        <w:t xml:space="preserve">图 6-4 数据质量问题处置流程</w:t>
      </w:r>
    </w:p>
    <w:p w14:paraId="46CCAC7C">
      <w:pPr>
        <w:pStyle w:val="TenderBody"/>
      </w:pPr>
      <w:r>
        <w:rPr>
          <w:rFonts w:hint="eastAsia"/>
        </w:rPr>
        <w:t>十余年数据生成经验铸就专业数据校验平台，采用机器与人工双层校验机制，在事前和事后进行监控、巡检、外部同比等方式，为数据质量提供最完备的保障。</w:t>
      </w:r>
    </w:p>
    <w:p w14:paraId="3501E0C6">
      <w:pPr>
        <w:pStyle w:val="17"/>
      </w:pPr>
      <w:r>
        <w:drawing>
          <wp:inline distT="0" distB="0" distL="0" distR="0">
            <wp:extent cx="5274310" cy="2423795"/>
            <wp:effectExtent l="0" t="0" r="2540" b="0"/>
            <wp:docPr id="277739900" name="图片 2"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39900" name="图片 2" descr="图形用户界面, 应用程序, 表格&#10;&#10;描述已自动生成"/>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2423795"/>
                    </a:xfrm>
                    <a:prstGeom prst="rect">
                      <a:avLst/>
                    </a:prstGeom>
                    <a:noFill/>
                    <a:ln>
                      <a:noFill/>
                    </a:ln>
                    <a:effectLst/>
                  </pic:spPr>
                </pic:pic>
              </a:graphicData>
            </a:graphic>
          </wp:inline>
        </w:drawing>
      </w:r>
    </w:p>
    <w:p w14:paraId="2418C999">
      <w:pPr>
        <w:pStyle w:val="TenderBody"/>
        <w:ind w:firstLine="482"/>
        <w:jc w:val="center"/>
        <w:rPr>
          <w:b/>
          <w:bCs/>
        </w:rPr>
      </w:pPr>
      <w:r>
        <w:rPr>
          <w:rFonts w:hint="eastAsia"/>
          <w:b/>
          <w:bCs/>
        </w:rPr>
        <w:t xml:space="preserve">数据质量控制系统</w:t>
      </w:r>
    </w:p>
    <w:p w14:paraId="65FAB8DD">
      <w:pPr>
        <w:pStyle w:val="TenderBody"/>
      </w:pPr>
      <w:r>
        <w:rPr>
          <w:rFonts w:hint="eastAsia"/>
        </w:rPr>
        <w:t>本单位拥有专业化的数据校验平台，在数据采集完成之后，通过数据库触发器的方式，自动化的运行数据校验平台，对于入库的数据进行勾稽校验。数据校验平台有人工录入的十余万的校验规则，7*24小时自动化运作，保障数据质量，如果发现勾稽校验逻辑无法通过，则会自动预警并通知相关人员，由人工介入明确问题原因，及时解决问题。</w:t>
      </w:r>
    </w:p>
    <w:p w14:paraId="5E92DEA9">
      <w:pPr>
        <w:pStyle w:val="TenderBody"/>
      </w:pPr>
      <w:r>
        <w:rPr>
          <w:rFonts w:hint="eastAsia"/>
        </w:rPr>
        <w:t>基于数据质量评估标准与规范，对数据快速分层扫描检测，及时发现、定位、跟踪、暴露问题数据。持续监控数据波动情况及数据质量规则占比分析，定期生成数据质量报告，实时查看数据质量状况，保障数据质量的稳定可靠。</w:t>
      </w:r>
    </w:p>
    <w:p w14:paraId="4374D435">
      <w:pPr>
        <w:pStyle w:val="TenderBody"/>
      </w:pPr>
      <w:r>
        <w:rPr>
          <w:rFonts w:hint="eastAsia"/>
        </w:rPr>
        <w:t>数据质量控制平台主要工具如下：</w:t>
      </w:r>
    </w:p>
    <w:p w14:paraId="73FDD4C9">
      <w:pPr>
        <w:pStyle w:val="36"/>
        <w:widowControl/>
        <w:numPr>
          <w:ilvl w:val="0"/>
          <w:numId w:val="13"/>
        </w:numPr>
        <w:ind w:left="0" w:firstLine="480"/>
        <w:textAlignment w:val="baseline"/>
      </w:pPr>
      <w:r>
        <w:rPr>
          <w:rFonts w:hint="eastAsia"/>
        </w:rPr>
        <w:t>质量看板：支持对数据质量问题数据进行变化趋势分析，更直观的查看质量问题的变化以及对质量问题数据进行分析。</w:t>
      </w:r>
    </w:p>
    <w:p w14:paraId="6BD9138F">
      <w:pPr>
        <w:pStyle w:val="36"/>
        <w:widowControl/>
        <w:numPr>
          <w:ilvl w:val="0"/>
          <w:numId w:val="13"/>
        </w:numPr>
        <w:ind w:left="0" w:firstLine="480"/>
        <w:textAlignment w:val="baseline"/>
      </w:pPr>
      <w:r>
        <w:rPr>
          <w:rFonts w:hint="eastAsia"/>
        </w:rPr>
        <w:t>规则引擎：支持对字段、字段与字段、表间记录、表与表多维度自定义规则，并辅助模型检测，核查数据问题。</w:t>
      </w:r>
    </w:p>
    <w:p w14:paraId="01D04E90">
      <w:pPr>
        <w:pStyle w:val="36"/>
        <w:widowControl/>
        <w:numPr>
          <w:ilvl w:val="0"/>
          <w:numId w:val="13"/>
        </w:numPr>
        <w:ind w:left="0" w:firstLine="480"/>
        <w:textAlignment w:val="baseline"/>
      </w:pPr>
      <w:r>
        <w:rPr>
          <w:rFonts w:hint="eastAsia"/>
        </w:rPr>
        <w:t>质量监控：对重点数据和重点库表进行监控，对异常数据及时预警并跟踪。</w:t>
      </w:r>
    </w:p>
    <w:p w14:paraId="2F62964C">
      <w:pPr>
        <w:pStyle w:val="36"/>
        <w:widowControl/>
        <w:numPr>
          <w:ilvl w:val="0"/>
          <w:numId w:val="13"/>
        </w:numPr>
        <w:ind w:left="0" w:firstLine="480"/>
        <w:textAlignment w:val="baseline"/>
      </w:pPr>
      <w:r>
        <w:rPr>
          <w:rFonts w:hint="eastAsia"/>
        </w:rPr>
        <w:t>质量报告：多维度统计数据质量问题并生成报告，沉淀质量问题，进一步提高数据质量。</w:t>
      </w:r>
    </w:p>
    <w:p w14:paraId="742CACFD">
      <w:pPr>
        <w:pStyle w:val="Heading6"/>
        <w:bidi w:val="0"/>
        <w:ind w:left="1008" w:leftChars="0" w:hanging="1008" w:firstLineChars="0"/>
        <w:outlineLvl w:val="9"/>
      </w:pPr>
      <w:r>
        <w:rPr>
          <w:rFonts w:hint="eastAsia"/>
        </w:rPr>
        <w:t>数据同步</w:t>
      </w:r>
    </w:p>
    <w:p w14:paraId="70F54C69">
      <w:pPr>
        <w:pStyle w:val="TenderBody"/>
      </w:pPr>
      <w:r>
        <w:rPr>
          <w:rFonts w:hint="eastAsia"/>
        </w:rPr>
        <w:t>采用本单位自行研发的同步程序，每日同步更新数据，及时高效。当数据库同步工具检测到本地数据库表中的数据更新之后，自动化的通过此工具同步至用户数据库中，实现用户端的数据更新。</w:t>
      </w:r>
    </w:p>
    <w:p w14:paraId="0D814492">
      <w:pPr>
        <w:pStyle w:val="TenderBody"/>
      </w:pPr>
      <w:r>
        <w:drawing>
          <wp:inline distT="0" distB="0" distL="0" distR="0">
            <wp:extent cx="5271135" cy="3107690"/>
            <wp:effectExtent l="0" t="0" r="5715" b="0"/>
            <wp:docPr id="1928363212" name="图片 1"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63212" name="图片 1" descr="图示, 日程表&#10;&#10;描述已自动生成"/>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1135" cy="3107690"/>
                    </a:xfrm>
                    <a:prstGeom prst="rect">
                      <a:avLst/>
                    </a:prstGeom>
                    <a:noFill/>
                    <a:ln>
                      <a:noFill/>
                    </a:ln>
                  </pic:spPr>
                </pic:pic>
              </a:graphicData>
            </a:graphic>
          </wp:inline>
        </w:drawing>
      </w:r>
    </w:p>
    <w:p w14:paraId="33304239">
      <w:pPr>
        <w:pStyle w:val="Heading5"/>
        <w:bidi w:val="0"/>
        <w:ind w:left="864" w:leftChars="0" w:hanging="864" w:firstLineChars="0"/>
        <w:outlineLvl w:val="9"/>
      </w:pPr>
      <w:r>
        <w:rPr>
          <w:rFonts w:hint="eastAsia"/>
        </w:rPr>
        <w:t>高性能系统保证数据质量</w:t>
      </w:r>
    </w:p>
    <w:p w14:paraId="5D694C7D">
      <w:pPr>
        <w:pStyle w:val="Heading6"/>
        <w:bidi w:val="0"/>
        <w:ind w:left="1008" w:leftChars="0" w:hanging="1008" w:firstLineChars="0"/>
        <w:outlineLvl w:val="9"/>
      </w:pPr>
      <w:r>
        <w:rPr>
          <w:rFonts w:hint="eastAsia"/>
        </w:rPr>
        <w:t>系统性能指标</w:t>
      </w:r>
    </w:p>
    <w:p w14:paraId="2BA831B3">
      <w:pPr>
        <w:pStyle w:val="TenderBody"/>
      </w:pPr>
      <w:r>
        <w:rPr>
          <w:rFonts w:hint="eastAsia"/>
        </w:rPr>
        <w:t>产品的设计目标是无论同时有多少用户在线，都能在每天的任何时间提供极致性能。</w:t>
      </w:r>
    </w:p>
    <w:p w14:paraId="6E877525">
      <w:pPr>
        <w:pStyle w:val="TenderBody"/>
        <w:numPr>
          <w:ilvl w:val="0"/>
          <w:numId w:val="14"/>
        </w:numPr>
        <w:ind w:left="900"/>
      </w:pPr>
      <w:r>
        <w:rPr>
          <w:rFonts w:hint="eastAsia"/>
        </w:rPr>
        <w:t>集群</w:t>
      </w:r>
    </w:p>
    <w:p w14:paraId="5DA5F377">
      <w:pPr>
        <w:pStyle w:val="TenderBody"/>
      </w:pPr>
      <w:r>
        <w:rPr>
          <w:rFonts w:hint="eastAsia"/>
        </w:rPr>
        <w:t>系统服务采用无状态化设计，支持水平扩容，集群部署。分散用户请求，降低单台服务器压力，有效提高服务器的访问量。中间件均采用高可用集群化部署，比如关系型数据库、Storm、Flink、HBase等。</w:t>
      </w:r>
    </w:p>
    <w:p w14:paraId="427A1324">
      <w:pPr>
        <w:pStyle w:val="TenderBody"/>
        <w:numPr>
          <w:ilvl w:val="0"/>
          <w:numId w:val="14"/>
        </w:numPr>
        <w:ind w:left="900"/>
      </w:pPr>
      <w:r>
        <w:rPr>
          <w:rFonts w:hint="eastAsia"/>
        </w:rPr>
        <w:t>硬件加速</w:t>
      </w:r>
    </w:p>
    <w:p w14:paraId="603D3008">
      <w:pPr>
        <w:pStyle w:val="TenderBody"/>
      </w:pPr>
      <w:r>
        <w:rPr>
          <w:rFonts w:hint="eastAsia"/>
        </w:rPr>
        <w:t>高性能服务器及网络加速的主要措施有：使用高性能CPU，用来提供强大的运算能力。使用GPU+FPGA，用来加速机器学习能力。使用高性能SSD，用来提高系统磁盘访问速度。使用多光纤Internet主干连接。带宽可按需扩展。针对不同的应用场景采用灵活的集成及定制，提供最佳性能。</w:t>
      </w:r>
    </w:p>
    <w:p w14:paraId="26688896">
      <w:pPr>
        <w:pStyle w:val="TenderBody"/>
        <w:numPr>
          <w:ilvl w:val="0"/>
          <w:numId w:val="14"/>
        </w:numPr>
        <w:ind w:left="900"/>
      </w:pPr>
      <w:r>
        <w:rPr>
          <w:rFonts w:hint="eastAsia"/>
        </w:rPr>
        <w:t>多级缓存加速</w:t>
      </w:r>
    </w:p>
    <w:p w14:paraId="134CA8A1">
      <w:pPr>
        <w:pStyle w:val="TenderBody"/>
      </w:pPr>
      <w:r>
        <w:t>系统通过进程内缓存，Redis缓存，MongoDB实现多级缓存，给数据库减负，提升系统整体吞吐</w:t>
      </w:r>
      <w:r>
        <w:rPr>
          <w:rFonts w:hint="eastAsia"/>
        </w:rPr>
        <w:t>量和并发能力。</w:t>
      </w:r>
    </w:p>
    <w:p w14:paraId="7EEDDC8F">
      <w:pPr>
        <w:pStyle w:val="TenderBody"/>
        <w:numPr>
          <w:ilvl w:val="0"/>
          <w:numId w:val="14"/>
        </w:numPr>
        <w:ind w:left="900"/>
      </w:pPr>
      <w:r>
        <w:rPr>
          <w:rFonts w:hint="eastAsia"/>
        </w:rPr>
        <w:t>按需弹性扩容</w:t>
      </w:r>
    </w:p>
    <w:p w14:paraId="0633635F">
      <w:pPr>
        <w:pStyle w:val="TenderBody"/>
      </w:pPr>
      <w:r>
        <w:rPr>
          <w:rFonts w:hint="eastAsia"/>
        </w:rPr>
        <w:t>利用Kubernetes和分布式架构方案能够快速的根据使用要求对系统进行弹性扩容，保证系统始终保持在最佳性能。</w:t>
      </w:r>
    </w:p>
    <w:p w14:paraId="7C77EC14">
      <w:pPr>
        <w:pStyle w:val="Heading6"/>
        <w:bidi w:val="0"/>
        <w:ind w:left="1008" w:leftChars="0" w:hanging="1008" w:firstLineChars="0"/>
        <w:outlineLvl w:val="9"/>
      </w:pPr>
      <w:r>
        <w:rPr>
          <w:rFonts w:hint="eastAsia"/>
        </w:rPr>
        <w:t>系统可靠性</w:t>
      </w:r>
    </w:p>
    <w:p w14:paraId="1FA8C0CA">
      <w:pPr>
        <w:pStyle w:val="TenderBody"/>
        <w:numPr>
          <w:ilvl w:val="0"/>
          <w:numId w:val="15"/>
        </w:numPr>
        <w:ind w:left="900"/>
      </w:pPr>
      <w:r>
        <w:rPr>
          <w:rFonts w:hint="eastAsia"/>
        </w:rPr>
        <w:t>容错设计技术</w:t>
      </w:r>
    </w:p>
    <w:p w14:paraId="27F8D33C">
      <w:pPr>
        <w:pStyle w:val="TenderBody"/>
      </w:pPr>
      <w:r>
        <w:rPr>
          <w:rFonts w:hint="eastAsia"/>
        </w:rPr>
        <w:t>利用N版本程序设计、防卫式程序设计组合方案进行容错设计。</w:t>
      </w:r>
    </w:p>
    <w:p w14:paraId="0FCC7413">
      <w:pPr>
        <w:pStyle w:val="TenderBody"/>
      </w:pPr>
      <w:r>
        <w:rPr>
          <w:rFonts w:hint="eastAsia"/>
        </w:rPr>
        <w:t>N版本程序设计：提供软件的多个不同版本，防止因其中某一版本的软件提供错误服务而导致系统不可用。</w:t>
      </w:r>
    </w:p>
    <w:p w14:paraId="318DB71F">
      <w:pPr>
        <w:pStyle w:val="TenderBody"/>
        <w:numPr>
          <w:ilvl w:val="0"/>
          <w:numId w:val="15"/>
        </w:numPr>
        <w:ind w:left="900"/>
      </w:pPr>
      <w:r>
        <w:rPr>
          <w:rFonts w:hint="eastAsia"/>
        </w:rPr>
        <w:t>实时错误监控</w:t>
      </w:r>
    </w:p>
    <w:p w14:paraId="24B6FF46">
      <w:pPr>
        <w:pStyle w:val="TenderBody"/>
      </w:pPr>
      <w:r>
        <w:rPr>
          <w:rFonts w:hint="eastAsia"/>
        </w:rPr>
        <w:t>实时采集并分析系统日志，在发生异常和错误时，能够及时发现并产生报警信息。维护人员快速响应并修复错误问题，提高系统错误的快速恢复能力。</w:t>
      </w:r>
    </w:p>
    <w:p w14:paraId="1B6BE032">
      <w:pPr>
        <w:pStyle w:val="TenderBody"/>
        <w:numPr>
          <w:ilvl w:val="0"/>
          <w:numId w:val="15"/>
        </w:numPr>
        <w:ind w:left="900"/>
      </w:pPr>
      <w:r>
        <w:rPr>
          <w:rFonts w:hint="eastAsia"/>
        </w:rPr>
        <w:t>降低复杂度设计</w:t>
      </w:r>
    </w:p>
    <w:p w14:paraId="1484A7BF">
      <w:pPr>
        <w:pStyle w:val="TenderBody"/>
      </w:pPr>
      <w:r>
        <w:rPr>
          <w:rFonts w:hint="eastAsia"/>
        </w:rPr>
        <w:t>利用微服务架构，降低单个服务的业务复杂度，减少因为软件复杂而引起的软件缺陷，从而提高软件可靠性。</w:t>
      </w:r>
    </w:p>
    <w:p w14:paraId="40240C19">
      <w:pPr>
        <w:pStyle w:val="Heading6"/>
        <w:bidi w:val="0"/>
        <w:ind w:left="1008" w:leftChars="0" w:hanging="1008" w:firstLineChars="0"/>
        <w:outlineLvl w:val="9"/>
      </w:pPr>
      <w:r>
        <w:rPr>
          <w:rFonts w:hint="eastAsia"/>
        </w:rPr>
        <w:t>系统可用性</w:t>
      </w:r>
    </w:p>
    <w:p w14:paraId="41F10063">
      <w:pPr>
        <w:pStyle w:val="TenderBody"/>
        <w:ind w:firstLine="482"/>
        <w:rPr>
          <w:b/>
          <w:bCs/>
        </w:rPr>
      </w:pPr>
      <w:r>
        <w:rPr>
          <w:rFonts w:hint="eastAsia"/>
          <w:b/>
          <w:bCs/>
        </w:rPr>
        <w:t>分布式系统架构</w:t>
      </w:r>
    </w:p>
    <w:p w14:paraId="55A89F9E">
      <w:pPr>
        <w:pStyle w:val="TenderBody"/>
      </w:pPr>
      <w:r>
        <w:rPr>
          <w:rFonts w:hint="eastAsia"/>
        </w:rPr>
        <w:t>采用分布式系统架构，所有服务均采用异地多节点部署，避免产生单点故障问题。当部分节点暂时发生故障时，系统会主动发现并屏蔽故障节点，利用冗余节点保证系统整体的高可用性。</w:t>
      </w:r>
    </w:p>
    <w:p w14:paraId="41005F71">
      <w:pPr>
        <w:pStyle w:val="TenderBody"/>
        <w:ind w:firstLine="482"/>
        <w:rPr>
          <w:b/>
          <w:bCs/>
        </w:rPr>
      </w:pPr>
      <w:r>
        <w:rPr>
          <w:rFonts w:hint="eastAsia"/>
          <w:b/>
          <w:bCs/>
        </w:rPr>
        <w:t>高可用冗余设计</w:t>
      </w:r>
    </w:p>
    <w:p w14:paraId="465A533C">
      <w:pPr>
        <w:pStyle w:val="TenderBody"/>
      </w:pPr>
      <w:r>
        <w:rPr>
          <w:rFonts w:hint="eastAsia"/>
        </w:rPr>
        <w:t xml:space="preserve">本方案整体高可用架构设计，以高可用性和高稳定性为要求</w:t>
      </w:r>
      <w:r>
        <w:rPr>
          <w:rFonts w:hint="eastAsia"/>
        </w:rPr>
        <w:t xml:space="preserve">，从硬件到服务均采用冗余设计。所有服务均异地多节点部署，无单点故障。部署冗余的机房配电、机房网络、服务器组件、冷却、UPS等。</w:t>
      </w:r>
    </w:p>
    <w:p w14:paraId="1237EED4">
      <w:pPr>
        <w:pStyle w:val="TenderBody"/>
        <w:ind w:firstLine="482"/>
        <w:rPr>
          <w:b/>
          <w:bCs/>
        </w:rPr>
      </w:pPr>
      <w:r>
        <w:rPr>
          <w:rFonts w:hint="eastAsia"/>
          <w:b/>
          <w:bCs/>
        </w:rPr>
        <w:t>数据分布式高可用</w:t>
      </w:r>
    </w:p>
    <w:p w14:paraId="06D2002E">
      <w:pPr>
        <w:pStyle w:val="TenderBody"/>
      </w:pPr>
      <w:r>
        <w:rPr>
          <w:rFonts w:hint="eastAsia"/>
        </w:rPr>
        <w:t>数据库存储采用分布式存储，双机热备，多机房异地灾备等组合方案，保证数据的冗余和服务的高可用。</w:t>
      </w:r>
    </w:p>
    <w:p w14:paraId="415D8AED">
      <w:pPr>
        <w:pStyle w:val="TenderBody"/>
        <w:ind w:firstLine="482"/>
        <w:rPr>
          <w:b/>
          <w:bCs/>
        </w:rPr>
      </w:pPr>
      <w:r>
        <w:rPr>
          <w:rFonts w:hint="eastAsia"/>
          <w:b/>
          <w:bCs/>
        </w:rPr>
        <w:t>高可用服务保障</w:t>
      </w:r>
    </w:p>
    <w:p w14:paraId="3CA77200">
      <w:pPr>
        <w:pStyle w:val="TenderBody"/>
      </w:pPr>
      <w:r>
        <w:rPr>
          <w:rFonts w:hint="eastAsia"/>
        </w:rPr>
        <w:t>利用多种系统监控工具：zabbix、nagios、grafana、netdata、promethus、ganglia，分别进行硬件基础设施监控，线上服务能力监控，线上请求监控，反爬监控，配合服务报警系统和日志分析系统，快速响应线上各类报警和异常。</w:t>
      </w:r>
    </w:p>
    <w:p w14:paraId="7ECD43E9">
      <w:pPr>
        <w:pStyle w:val="TenderBody"/>
        <w:ind w:firstLine="482"/>
        <w:rPr>
          <w:b/>
          <w:bCs/>
        </w:rPr>
      </w:pPr>
      <w:r>
        <w:rPr>
          <w:rFonts w:hint="eastAsia"/>
          <w:b/>
          <w:bCs/>
        </w:rPr>
        <w:t>高可用服务降级</w:t>
      </w:r>
    </w:p>
    <w:p w14:paraId="23B340A6">
      <w:pPr>
        <w:pStyle w:val="TenderBody"/>
      </w:pPr>
      <w:r>
        <w:rPr>
          <w:rFonts w:hint="eastAsia"/>
        </w:rPr>
        <w:t>当服务器压力剧增的情况下，根据实际业务情况及流量，进行服务降级处理，保证重要或基本服务正常运行，非重要服务延迟使用或暂停使用。</w:t>
      </w:r>
    </w:p>
    <w:p>
      <w:pPr>
        <w:pStyle w:val="TenderBody"/>
        <w:rPr/>
      </w:pPr>
      <w:r>
        <w:t xml:space="preserve">上述高可用能力对应采购人的连续性要求：双服务器热备保证单点故障自动接管，合同期内因我方原因造成的服务中断合计不超过5个工作日；确发生中断的，按双方约定处理。因经营原因需要下线停止产品服务的，我方提前2个月书面通知采购人；未完成提前通知的，保持服务正常可用直至采购人完成替代安排，由此造成采购人损失的，我方承担全部责任。服务范围发生变化的，提前3个工作日书面告知采购人。我方保证拥有提供本项目约定服务的资质及许可，包括但不限于各类行政许可，并保证服务结果不侵犯任何第三方的商业秘密、隐私权等其他合法权利。按采购项目需求 5.22 条要求，我方不将采购人向我方提供的相关信息提供给其他任何一方、不在本地数据库留存或做任何用途，并配合采购人必要且合理的内外部审计机构检查及银行业监管机构检查。</w:t>
      </w:r>
    </w:p>
    <w:p>
      <w:pPr>
        <w:pStyle w:val="Heading3"/>
        <w:outlineLvl w:val="9"/>
        <w:rPr/>
      </w:pPr>
      <w:r>
        <w:t xml:space="preserve">6.4.2 数据质量管控</w:t>
      </w:r>
    </w:p>
    <w:p w14:paraId="4B35348E">
      <w:pPr>
        <w:pStyle w:val="Heading5"/>
        <w:bidi w:val="0"/>
        <w:ind w:left="864" w:leftChars="0" w:hanging="864" w:firstLineChars="0"/>
        <w:outlineLvl w:val="9"/>
      </w:pPr>
      <w:r>
        <w:rPr>
          <w:rFonts w:hint="eastAsia"/>
        </w:rPr>
        <w:t>公安部信息系统安全等级保护备案三级证书</w:t>
      </w:r>
    </w:p>
    <w:p w14:paraId="532DF936">
      <w:pPr>
        <w:pStyle w:val="TenderBody"/>
        <w:rPr>
          <w:rFonts w:hint="eastAsia"/>
        </w:rPr>
      </w:pPr>
      <w:commentRangeStart w:id="8"/>
      <w:r>
        <w:drawing>
          <wp:inline distT="0" distB="0" distL="0" distR="0">
            <wp:extent cx="4288790" cy="3093720"/>
            <wp:effectExtent l="0" t="0" r="0" b="0"/>
            <wp:docPr id="10955029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0292" name="图片 6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288790" cy="3093720"/>
                    </a:xfrm>
                    <a:prstGeom prst="rect">
                      <a:avLst/>
                    </a:prstGeom>
                    <a:noFill/>
                    <a:ln>
                      <a:noFill/>
                    </a:ln>
                  </pic:spPr>
                </pic:pic>
              </a:graphicData>
            </a:graphic>
          </wp:inline>
        </w:drawing>
      </w:r>
      <w:commentRangeEnd w:id="8"/>
      <w:r>
        <w:rPr>
          <w:rStyle w:val="CommentReference"/>
        </w:rPr>
        <w:commentReference w:id="8"/>
      </w:r>
    </w:p>
    <w:p w14:paraId="25BE6D5A">
      <w:pPr>
        <w:pStyle w:val="TenderBody"/>
        <w:rPr>
          <w:rFonts w:hint="eastAsia"/>
        </w:rPr>
      </w:pPr>
      <w:r>
        <w:rPr>
          <w:rFonts w:hint="eastAsia"/>
        </w:rPr>
        <w:drawing>
          <wp:inline distT="0" distB="0" distL="0" distR="0">
            <wp:extent cx="5274310" cy="2955925"/>
            <wp:effectExtent l="0" t="0" r="2540" b="0"/>
            <wp:docPr id="417337242" name="图片 62" descr="文本&#10;&#10;描述已自动生成"/>
            <wp:cNvGraphicFramePr/>
            <a:graphic xmlns:a="http://schemas.openxmlformats.org/drawingml/2006/main">
              <a:graphicData uri="http://schemas.openxmlformats.org/drawingml/2006/picture">
                <pic:pic xmlns:pic="http://schemas.openxmlformats.org/drawingml/2006/picture">
                  <pic:nvPicPr>
                    <pic:cNvPr id="417337242" name="图片 62" descr="文本&#10;&#10;描述已自动生成"/>
                    <pic:cNvPicPr>
                      <a:picLocks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74310" cy="2955925"/>
                    </a:xfrm>
                    <a:prstGeom prst="rect">
                      <a:avLst/>
                    </a:prstGeom>
                    <a:noFill/>
                    <a:ln>
                      <a:noFill/>
                    </a:ln>
                    <a:effectLst/>
                  </pic:spPr>
                </pic:pic>
              </a:graphicData>
            </a:graphic>
          </wp:inline>
        </w:drawing>
      </w:r>
    </w:p>
    <w:p w14:paraId="1575DC48">
      <w:pPr>
        <w:pStyle w:val="TenderBody"/>
        <w:rPr>
          <w:rFonts w:hint="eastAsia"/>
        </w:rPr>
      </w:pPr>
    </w:p>
    <w:p w14:paraId="65906DAD">
      <w:pPr>
        <w:pStyle w:val="Heading5"/>
        <w:bidi w:val="0"/>
        <w:ind w:left="864" w:leftChars="0" w:hanging="864" w:firstLineChars="0"/>
        <w:outlineLvl w:val="9"/>
        <w:rPr>
          <w:rFonts w:hint="eastAsia"/>
        </w:rPr>
      </w:pPr>
      <w:r>
        <w:rPr>
          <w:rFonts w:hint="eastAsia"/>
        </w:rPr>
        <w:t>数据加密方案</w:t>
      </w:r>
    </w:p>
    <w:p w14:paraId="70CC768A">
      <w:pPr>
        <w:pStyle w:val="TenderBody"/>
        <w:ind w:firstLine="482"/>
        <w:rPr>
          <w:rFonts w:hint="eastAsia"/>
          <w:b/>
          <w:bCs/>
        </w:rPr>
      </w:pPr>
      <w:r>
        <w:rPr>
          <w:rFonts w:hint="eastAsia"/>
          <w:b/>
          <w:bCs/>
        </w:rPr>
        <w:t>API接口方案：</w:t>
      </w:r>
    </w:p>
    <w:p w14:paraId="6EEC6D2A">
      <w:pPr>
        <w:pStyle w:val="TenderBody"/>
        <w:rPr>
          <w:rFonts w:hint="eastAsia"/>
        </w:rPr>
      </w:pPr>
      <w:r>
        <w:rPr>
          <w:rFonts w:hint="eastAsia"/>
        </w:rPr>
        <w:t xml:space="preserve">我方承诺：</w:t>
      </w:r>
    </w:p>
    <w:p w14:paraId="7F24C6C9">
      <w:pPr>
        <w:pStyle w:val="TenderBody"/>
        <w:rPr>
          <w:rFonts w:hint="eastAsia"/>
        </w:rPr>
      </w:pPr>
      <w:r>
        <w:rPr>
          <w:rFonts w:hint="eastAsia"/>
        </w:rPr>
        <w:t xml:space="preserve">对采购人查询返回的数据文件采用国密SM2算法加签验签，并按采购人要求的方式加密返回。</w:t>
      </w:r>
    </w:p>
    <w:p w14:paraId="40EB07D4">
      <w:pPr>
        <w:pStyle w:val="TenderBody"/>
        <w:rPr>
          <w:rFonts w:hint="eastAsia"/>
        </w:rPr>
      </w:pPr>
      <w:r>
        <w:rPr>
          <w:rFonts w:hint="eastAsia"/>
        </w:rPr>
        <w:t xml:space="preserve">对通信安全、会话安全及数据安全做保证，防止信息泄露；对采购人输出的数据严格保密，不向任何第三方提供。</w:t>
      </w:r>
      <w:r>
        <w:rPr>
          <w:rFonts w:hint="eastAsia"/>
        </w:rPr>
        <w:t xml:space="preserve">发生信息泄露情形，能够在1小时内通报采购人，并在24小时内提交正式报告。</w:t>
      </w:r>
      <w:r>
        <w:rPr>
          <w:rFonts w:hint="eastAsia"/>
        </w:rPr>
        <w:t xml:space="preserve">通信安全方法包括证书、IP地址白名单等方法，会话安全包括合作方标识+秘钥、IP地址白名单+登录、渠道号+秘钥、账号+秘钥等方法，数据安全包括报文MAC校验、关键信息加密等方法。</w:t>
      </w:r>
    </w:p>
    <w:p>
      <w:pPr>
        <w:pStyle w:val="Heading3"/>
        <w:outlineLvl w:val="9"/>
        <w:rPr/>
      </w:pPr>
      <w:r>
        <w:t xml:space="preserve">6.4.3 应急与合规</w:t>
      </w:r>
    </w:p>
    <w:p>
      <w:pPr>
        <w:pStyle w:val="TenderBody"/>
        <w:rPr/>
      </w:pPr>
      <w:r>
        <w:t xml:space="preserve">应急响应：接到采购人使用问题后一般应在24小时内给予回应；服务系统故障后0.5小时内响应并指派专人不间断修复直至恢复。应急保障遵循银监发〔2011〕104号等银行业信息科技风险管理相关要求执行。</w:t>
      </w:r>
    </w:p>
    <w:p w14:paraId="13981EC5">
      <w:pPr>
        <w:pStyle w:val="TenderBody"/>
        <w:rPr>
          <w:rFonts w:hint="eastAsia"/>
        </w:rPr>
      </w:pPr>
      <w:r>
        <w:rPr>
          <w:rFonts w:hint="eastAsia"/>
        </w:rPr>
        <w:drawing>
          <wp:inline distT="0" distB="0" distL="0" distR="0">
            <wp:extent cx="5274310" cy="3440430"/>
            <wp:effectExtent l="0" t="0" r="2540" b="7620"/>
            <wp:docPr id="584199806" name="图片 61" descr="screensh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99806" name="图片 61" descr="screensho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3440430"/>
                    </a:xfrm>
                    <a:prstGeom prst="rect">
                      <a:avLst/>
                    </a:prstGeom>
                    <a:noFill/>
                    <a:ln>
                      <a:noFill/>
                    </a:ln>
                  </pic:spPr>
                </pic:pic>
              </a:graphicData>
            </a:graphic>
          </wp:inline>
        </w:drawing>
      </w:r>
    </w:p>
    <w:p w14:paraId="4DE11B5F">
      <w:pPr>
        <w:pStyle w:val="TenderBody"/>
        <w:rPr>
          <w:rFonts w:hint="eastAsia"/>
        </w:rPr>
      </w:pPr>
      <w:r>
        <w:drawing>
          <wp:inline distT="0" distB="0" distL="0" distR="0">
            <wp:extent cx="5274310" cy="4054475"/>
            <wp:effectExtent l="0" t="0" r="2540" b="3175"/>
            <wp:docPr id="170823508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35087" name="图片 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4054475"/>
                    </a:xfrm>
                    <a:prstGeom prst="rect">
                      <a:avLst/>
                    </a:prstGeom>
                    <a:noFill/>
                    <a:ln>
                      <a:noFill/>
                    </a:ln>
                  </pic:spPr>
                </pic:pic>
              </a:graphicData>
            </a:graphic>
          </wp:inline>
        </w:drawing>
      </w:r>
    </w:p>
    <w:p w14:paraId="4FE3E101">
      <w:pPr>
        <w:pStyle w:val="TenderBody"/>
        <w:ind w:firstLine="482"/>
        <w:rPr>
          <w:rFonts w:hint="eastAsia"/>
          <w:b/>
          <w:bCs/>
        </w:rPr>
      </w:pPr>
      <w:r>
        <w:rPr>
          <w:rFonts w:hint="eastAsia"/>
          <w:b/>
          <w:bCs/>
        </w:rPr>
        <w:t>数据同步方案：</w:t>
      </w:r>
    </w:p>
    <w:p w14:paraId="743BC6DD">
      <w:pPr>
        <w:pStyle w:val="TenderBody"/>
        <w:rPr>
          <w:rFonts w:hint="eastAsia"/>
        </w:rPr>
      </w:pPr>
      <w:r>
        <w:rPr>
          <w:rFonts w:hint="eastAsia"/>
        </w:rPr>
        <w:t xml:space="preserve">我方承诺：</w:t>
      </w:r>
    </w:p>
    <w:p w14:paraId="344914E1">
      <w:pPr>
        <w:pStyle w:val="TenderBody"/>
        <w:rPr>
          <w:rFonts w:hint="eastAsia"/>
        </w:rPr>
      </w:pPr>
      <w:r>
        <w:rPr>
          <w:rFonts w:hint="eastAsia"/>
        </w:rPr>
        <w:t>数据采用加密方式传输，实施敏感数据匿名化处理，提供有效的安全措施能够防范数据泄露风险。</w:t>
      </w:r>
    </w:p>
    <w:p w14:paraId="72B2DAAB">
      <w:pPr>
        <w:pStyle w:val="TenderBody"/>
        <w:rPr>
          <w:rFonts w:hint="eastAsia"/>
        </w:rPr>
      </w:pPr>
      <w:r>
        <w:rPr>
          <w:rFonts w:hint="eastAsia"/>
        </w:rPr>
        <w:t>详细数据加密方案如下：</w:t>
      </w:r>
    </w:p>
    <w:p w14:paraId="527BD7A4">
      <w:pPr>
        <w:pStyle w:val="TenderBody"/>
        <w:rPr>
          <w:rFonts w:hint="eastAsia"/>
        </w:rPr>
      </w:pPr>
      <w:r>
        <w:rPr>
          <w:rFonts w:hint="eastAsia"/>
        </w:rPr>
        <w:t xml:space="preserve">用户认证服务由我方统一认证中心提供，账号与部署机器MAC地址绑定，确保账号安全性。</w:t>
      </w:r>
    </w:p>
    <w:p w14:paraId="740CA2CA">
      <w:pPr>
        <w:pStyle w:val="TenderBody"/>
        <w:rPr>
          <w:rFonts w:hint="eastAsia"/>
        </w:rPr>
      </w:pPr>
      <w:r>
        <w:rPr>
          <w:rFonts w:hint="eastAsia"/>
        </w:rPr>
        <w:drawing>
          <wp:inline distT="0" distB="0" distL="0" distR="0">
            <wp:extent cx="5274310" cy="715645"/>
            <wp:effectExtent l="0" t="0" r="2540" b="8255"/>
            <wp:docPr id="777155019" name="图片 59" descr="图形用户界面, 应用程序&#10;&#10;描述已自动生成"/>
            <wp:cNvGraphicFramePr/>
            <a:graphic xmlns:a="http://schemas.openxmlformats.org/drawingml/2006/main">
              <a:graphicData uri="http://schemas.openxmlformats.org/drawingml/2006/picture">
                <pic:pic xmlns:pic="http://schemas.openxmlformats.org/drawingml/2006/picture">
                  <pic:nvPicPr>
                    <pic:cNvPr id="777155019" name="图片 59" descr="图形用户界面, 应用程序&#10;&#10;描述已自动生成"/>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715645"/>
                    </a:xfrm>
                    <a:prstGeom prst="rect">
                      <a:avLst/>
                    </a:prstGeom>
                    <a:noFill/>
                    <a:ln>
                      <a:noFill/>
                    </a:ln>
                    <a:effectLst/>
                  </pic:spPr>
                </pic:pic>
              </a:graphicData>
            </a:graphic>
          </wp:inline>
        </w:drawing>
      </w:r>
    </w:p>
    <w:p w14:paraId="23CE1506">
      <w:pPr>
        <w:pStyle w:val="TenderBody"/>
        <w:rPr>
          <w:rFonts w:hint="eastAsia"/>
        </w:rPr>
      </w:pPr>
      <w:r>
        <w:rPr>
          <w:rFonts w:hint="eastAsia"/>
        </w:rPr>
        <w:t xml:space="preserve">同步客户端与服务端之间交互采用HTTPS协议，传输过程使用国密算法加签验签加密，保证数据传输过程中的安全性。</w:t>
      </w:r>
    </w:p>
    <w:p w14:paraId="3409418D">
      <w:pPr>
        <w:pStyle w:val="TenderBody"/>
        <w:rPr>
          <w:rFonts w:hint="eastAsia"/>
        </w:rPr>
      </w:pPr>
      <w:r>
        <w:rPr>
          <w:rFonts w:hint="eastAsia"/>
        </w:rPr>
        <w:drawing>
          <wp:inline distT="0" distB="0" distL="0" distR="0">
            <wp:extent cx="5274310" cy="860425"/>
            <wp:effectExtent l="0" t="0" r="2540" b="0"/>
            <wp:docPr id="85826142" name="图片 58" descr="文本&#10;&#10;描述已自动生成"/>
            <wp:cNvGraphicFramePr/>
            <a:graphic xmlns:a="http://schemas.openxmlformats.org/drawingml/2006/main">
              <a:graphicData uri="http://schemas.openxmlformats.org/drawingml/2006/picture">
                <pic:pic xmlns:pic="http://schemas.openxmlformats.org/drawingml/2006/picture">
                  <pic:nvPicPr>
                    <pic:cNvPr id="85826142" name="图片 58" descr="文本&#10;&#10;描述已自动生成"/>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860425"/>
                    </a:xfrm>
                    <a:prstGeom prst="rect">
                      <a:avLst/>
                    </a:prstGeom>
                    <a:noFill/>
                    <a:ln>
                      <a:noFill/>
                    </a:ln>
                    <a:effectLst/>
                  </pic:spPr>
                </pic:pic>
              </a:graphicData>
            </a:graphic>
          </wp:inline>
        </w:drawing>
      </w:r>
    </w:p>
    <w:p w14:paraId="622484CE">
      <w:pPr>
        <w:pStyle w:val="TenderBody"/>
        <w:rPr>
          <w:rFonts w:hint="eastAsia"/>
        </w:rPr>
      </w:pPr>
      <w:r>
        <w:rPr>
          <w:rFonts w:hint="eastAsia"/>
        </w:rPr>
        <w:t xml:space="preserve">数据文件额外采用国密SM4分组加密算法加解密，保证数据文件的安全性，防止文件泄漏。</w:t>
      </w:r>
    </w:p>
    <w:p w14:paraId="2E07B0B9">
      <w:pPr>
        <w:pStyle w:val="TenderBody"/>
        <w:rPr>
          <w:rFonts w:hint="eastAsia"/>
        </w:rPr>
      </w:pPr>
      <w:r>
        <w:rPr>
          <w:rFonts w:hint="eastAsia"/>
        </w:rPr>
        <w:drawing>
          <wp:inline distT="0" distB="0" distL="0" distR="0">
            <wp:extent cx="5274310" cy="2276475"/>
            <wp:effectExtent l="0" t="0" r="2540" b="9525"/>
            <wp:docPr id="1197382672" name="图片 57" descr="文本&#10;&#10;描述已自动生成"/>
            <wp:cNvGraphicFramePr/>
            <a:graphic xmlns:a="http://schemas.openxmlformats.org/drawingml/2006/main">
              <a:graphicData uri="http://schemas.openxmlformats.org/drawingml/2006/picture">
                <pic:pic xmlns:pic="http://schemas.openxmlformats.org/drawingml/2006/picture">
                  <pic:nvPicPr>
                    <pic:cNvPr id="1197382672" name="图片 57" descr="文本&#10;&#10;描述已自动生成"/>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2276475"/>
                    </a:xfrm>
                    <a:prstGeom prst="rect">
                      <a:avLst/>
                    </a:prstGeom>
                    <a:noFill/>
                    <a:ln>
                      <a:noFill/>
                    </a:ln>
                    <a:effectLst/>
                  </pic:spPr>
                </pic:pic>
              </a:graphicData>
            </a:graphic>
          </wp:inline>
        </w:drawing>
      </w:r>
    </w:p>
    <w:p w14:paraId="1CE5482B">
      <w:pPr>
        <w:pStyle w:val="Heading3"/>
        <w:bidi w:val="0"/>
        <w:ind w:left="720" w:leftChars="0" w:hanging="720" w:firstLineChars="0"/>
        <w:outlineLvl w:val="9"/>
        <w:rPr>
          <w:rFonts w:hint="eastAsia"/>
        </w:rPr>
      </w:pPr>
      <w:r>
        <w:rPr>
          <w:rFonts w:hint="eastAsia"/>
        </w:rPr>
        <w:t>6.4.4 数据稳定性分析</w:t>
      </w:r>
    </w:p>
    <w:p w14:paraId="230E5BA3">
      <w:pPr>
        <w:pStyle w:val="TenderBody"/>
        <w:rPr>
          <w:rFonts w:hint="eastAsia"/>
        </w:rPr>
      </w:pPr>
      <w:r>
        <w:rPr>
          <w:rFonts w:hint="eastAsia"/>
        </w:rPr>
        <w:t xml:space="preserve">我方充分考虑到数据来源稳定性的问题，针对每类数据保证同时存在多个数据来源，在数据来源处理上保证数据完整和稳定；另一方面，我方有完善的校验机制，后台有AI机器校验平台和人工校验的多重数据保证，对数据的完整稳定提供保障。</w:t>
      </w:r>
    </w:p>
    <w:p w14:paraId="78DE30A9">
      <w:pPr>
        <w:pStyle w:val="24"/>
        <w:ind w:left="0" w:leftChars="0" w:firstLine="480"/>
        <w:rPr>
          <w:rFonts w:hint="eastAsia"/>
        </w:rPr>
      </w:pPr>
      <w:r>
        <w:rPr>
          <w:rFonts w:hint="eastAsia"/>
        </w:rPr>
        <w:t>极高的可伸缩性，动态添加资源，分摊压力，灵活部署，保证了平台的高可用性和服务的稳定性。</w:t>
      </w:r>
    </w:p>
    <w:p>
      <w:pPr>
        <w:pStyle w:val="Heading3"/>
        <w:outlineLvl w:val="9"/>
        <w:rPr/>
      </w:pPr>
      <w:r>
        <w:t xml:space="preserve">6.4.5 业务连续性保障</w:t>
      </w:r>
    </w:p>
    <w:p>
      <w:pPr>
        <w:pStyle w:val="TenderBody"/>
        <w:rPr/>
      </w:pPr>
      <w:r>
        <w:t xml:space="preserve">我方不定期向采购人同步获悉的其他银行因个人隐私信息采集方面被处罚的情况，作为采购人风险合规管理的信息参考。</w:t>
      </w:r>
    </w:p>
    <w:p>
      <w:pPr>
        <w:pStyle w:val="Heading2"/>
      </w:pPr>
      <w:r>
        <w:t>6.5 数据更新承诺函（格式6-2）</w:t>
      </w:r>
    </w:p>
    <w:p w14:paraId="7BA5098A">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highlight w:val="none"/>
        </w:rPr>
      </w:pPr>
      <w:r>
        <w:rPr>
          <w:rFonts w:hint="eastAsia" w:ascii="仿宋" w:hAnsi="仿宋" w:eastAsia="仿宋" w:cs="仿宋"/>
          <w:smallCaps w:val="0"/>
          <w:kern w:val="0"/>
          <w:sz w:val="28"/>
          <w:szCs w:val="28"/>
          <w:highlight w:val="none"/>
        </w:rPr>
        <w:t>特此声明！</w:t>
      </w:r>
    </w:p>
    <w:p w14:paraId="7A21A02E">
      <w:pPr>
        <w:rPr>
          <w:rFonts w:hint="eastAsia" w:ascii="仿宋" w:hAnsi="仿宋" w:eastAsia="仿宋" w:cs="仿宋"/>
          <w:highlight w:val="none"/>
        </w:rPr>
      </w:pPr>
    </w:p>
    <w:p w14:paraId="080B3749">
      <w:pPr>
        <w:spacing w:line="360" w:lineRule="auto"/>
        <w:ind w:right="420"/>
        <w:rPr>
          <w:rFonts w:hint="eastAsia" w:ascii="仿宋" w:hAnsi="仿宋" w:eastAsia="仿宋" w:cs="仿宋"/>
          <w:sz w:val="27"/>
          <w:szCs w:val="27"/>
          <w:highlight w:val="none"/>
        </w:rPr>
      </w:pPr>
    </w:p>
    <w:p w14:paraId="29DAB369">
      <w:pPr>
        <w:pageBreakBefore w:val="0"/>
        <w:widowControl/>
        <w:kinsoku/>
        <w:wordWrap/>
        <w:overflowPunct/>
        <w:topLinePunct w:val="0"/>
        <w:bidi w:val="0"/>
        <w:spacing w:beforeAutospacing="0" w:line="360" w:lineRule="auto"/>
        <w:ind w:left="0" w:leftChars="0" w:firstLine="4620" w:firstLineChars="16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 xml:space="preserve">投标供应商名称（公章）：杭州研数科技有限公司（验收演示）</w:t>
      </w:r>
    </w:p>
    <w:p w14:paraId="143CA07F">
      <w:pPr>
        <w:pageBreakBefore w:val="0"/>
        <w:widowControl/>
        <w:kinsoku/>
        <w:wordWrap/>
        <w:overflowPunct/>
        <w:topLinePunct w:val="0"/>
        <w:bidi w:val="0"/>
        <w:spacing w:beforeAutospacing="0" w:line="360" w:lineRule="auto"/>
        <w:ind w:left="0" w:leftChars="0" w:firstLine="140" w:firstLineChars="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                  </w:t>
      </w:r>
      <w:r>
        <w:rPr>
          <w:rFonts w:hint="eastAsia" w:ascii="仿宋" w:hAnsi="仿宋" w:eastAsia="仿宋" w:cs="仿宋"/>
          <w:smallCaps w:val="0"/>
          <w:kern w:val="0"/>
          <w:sz w:val="28"/>
          <w:szCs w:val="28"/>
          <w:highlight w:val="none"/>
        </w:rPr>
        <w:t xml:space="preserve">法定代表人（经营者）（签字或盖章）：陈演示（验收演示）</w:t>
      </w:r>
      <w:r>
        <w:rPr>
          <w:rFonts w:hint="eastAsia" w:ascii="仿宋" w:hAnsi="仿宋" w:eastAsia="仿宋" w:cs="仿宋"/>
          <w:smallCaps w:val="0"/>
          <w:kern w:val="0"/>
          <w:sz w:val="28"/>
          <w:szCs w:val="28"/>
          <w:highlight w:val="none"/>
        </w:rPr>
        <w:t xml:space="preserve">        </w:t>
      </w:r>
    </w:p>
    <w:p w14:paraId="4AEBAAFC">
      <w:pPr>
        <w:widowControl/>
        <w:kinsoku/>
        <w:wordWrap/>
        <w:overflowPunct/>
        <w:topLinePunct w:val="0"/>
        <w:bidi w:val="0"/>
        <w:spacing w:line="360" w:lineRule="auto"/>
        <w:ind w:firstLine="5600" w:firstLineChars="200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2026 年 8 月 19 日</w:t>
      </w:r>
    </w:p>
    <w:p w14:paraId="3B1934B8">
      <w:pPr>
        <w:kinsoku/>
        <w:wordWrap/>
        <w:overflowPunct/>
        <w:topLinePunct w:val="0"/>
        <w:bidi w:val="0"/>
        <w:spacing w:line="360" w:lineRule="auto"/>
        <w:rPr>
          <w:rFonts w:hint="eastAsia" w:ascii="仿宋" w:hAnsi="仿宋" w:eastAsia="仿宋" w:cs="仿宋"/>
          <w:smallCaps w:val="0"/>
          <w:highlight w:val="none"/>
        </w:rPr>
      </w:pPr>
    </w:p>
    <w:p>
      <w:pPr>
        <w:pStyle w:val="Heading4"/>
        <w:outlineLvl w:val="9"/>
        <w:rPr/>
      </w:pPr>
      <w:r>
        <w:t xml:space="preserve">数据更新承诺函</w:t>
      </w:r>
    </w:p>
    <w:p w14:paraId="3638F341">
      <w:pPr>
        <w:kinsoku/>
        <w:wordWrap/>
        <w:overflowPunct/>
        <w:topLinePunct w:val="0"/>
        <w:bidi w:val="0"/>
        <w:spacing w:line="360" w:lineRule="auto"/>
        <w:rPr>
          <w:rFonts w:hint="eastAsia" w:ascii="仿宋" w:hAnsi="仿宋" w:eastAsia="仿宋" w:cs="仿宋"/>
          <w:smallCaps w:val="0"/>
          <w:highlight w:val="none"/>
        </w:rPr>
      </w:pPr>
    </w:p>
    <w:p>
      <w:pPr>
        <w:pStyle w:val="TenderBody"/>
        <w:rPr/>
      </w:pPr>
      <w:r>
        <w:t xml:space="preserve">致：赣州银行股份有限公司</w:t>
      </w:r>
    </w:p>
    <w:p>
      <w:pPr>
        <w:pStyle w:val="TenderBody"/>
        <w:rPr/>
      </w:pPr>
      <w:r>
        <w:t xml:space="preserve">我公司愿意针对赣州银行股份有限公司2026年度外部数据供应商入围采购项目（标段三：行业产业链、资讯与研究分析、ESG与绿色金融数据）项目进行投标，并承诺如下：</w:t>
      </w:r>
    </w:p>
    <w:p>
      <w:pPr>
        <w:pStyle w:val="TenderBody"/>
        <w:rPr/>
      </w:pPr>
      <w:r>
        <w:t xml:space="preserve">我方严格依据上游官方数据源更新节奏，严格执行T+2数据更新标准（验收演示，正式投标前按中标品类确认更新时效），同时匹配招标文件各品类数据更新要求，确保全品类数据时效合规、版本最新，我方对外输出数据与官方权威数据源保持一致，更新内容真实、准确、完整，杜绝错更、漏更、乱更、重复更新等问题。若有违背，我公司承担由此产生的一切后果。</w:t>
      </w:r>
      <w:commentRangeStart w:id="9"/>
      <w:r/>
      <w:commentRangeEnd w:id="9"/>
      <w:r>
        <w:rPr>
          <w:rStyle w:val="CommentReference"/>
        </w:rPr>
        <w:commentReference w:id="9"/>
      </w:r>
    </w:p>
    <w:p>
      <w:pPr>
        <w:pStyle w:val="Heading2"/>
      </w:pPr>
      <w:r>
        <w:t>6.6 数据问题处置时效承诺函（格式6-3）</w:t>
      </w:r>
    </w:p>
    <w:p w14:paraId="7A701C61">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highlight w:val="none"/>
        </w:rPr>
      </w:pPr>
      <w:r>
        <w:rPr>
          <w:rFonts w:hint="eastAsia" w:ascii="仿宋" w:hAnsi="仿宋" w:eastAsia="仿宋" w:cs="仿宋"/>
          <w:smallCaps w:val="0"/>
          <w:kern w:val="0"/>
          <w:sz w:val="28"/>
          <w:szCs w:val="28"/>
          <w:highlight w:val="none"/>
        </w:rPr>
        <w:t>特此声明！</w:t>
      </w:r>
    </w:p>
    <w:p w14:paraId="55533900">
      <w:pPr>
        <w:rPr>
          <w:rFonts w:hint="eastAsia" w:ascii="仿宋" w:hAnsi="仿宋" w:eastAsia="仿宋" w:cs="仿宋"/>
          <w:highlight w:val="none"/>
        </w:rPr>
      </w:pPr>
    </w:p>
    <w:p w14:paraId="2FCE92FB">
      <w:pPr>
        <w:spacing w:line="360" w:lineRule="auto"/>
        <w:ind w:right="420"/>
        <w:rPr>
          <w:rFonts w:hint="eastAsia" w:ascii="仿宋" w:hAnsi="仿宋" w:eastAsia="仿宋" w:cs="仿宋"/>
          <w:sz w:val="27"/>
          <w:szCs w:val="27"/>
          <w:highlight w:val="none"/>
        </w:rPr>
      </w:pPr>
    </w:p>
    <w:p w14:paraId="162394A9">
      <w:pPr>
        <w:pageBreakBefore w:val="0"/>
        <w:widowControl/>
        <w:kinsoku/>
        <w:wordWrap/>
        <w:overflowPunct/>
        <w:topLinePunct w:val="0"/>
        <w:bidi w:val="0"/>
        <w:spacing w:beforeAutospacing="0" w:line="360" w:lineRule="auto"/>
        <w:ind w:left="0" w:leftChars="0" w:firstLine="5180" w:firstLineChars="18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 xml:space="preserve">投标供应商名称（公章）：杭州研数科技有限公司（验收演示）</w:t>
      </w:r>
    </w:p>
    <w:p w14:paraId="60EEEC44">
      <w:pPr>
        <w:pageBreakBefore w:val="0"/>
        <w:widowControl/>
        <w:kinsoku/>
        <w:wordWrap/>
        <w:overflowPunct/>
        <w:topLinePunct w:val="0"/>
        <w:bidi w:val="0"/>
        <w:spacing w:beforeAutospacing="0" w:line="360" w:lineRule="auto"/>
        <w:ind w:left="0" w:leftChars="0" w:firstLine="140" w:firstLineChars="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                    </w:t>
      </w:r>
      <w:r>
        <w:rPr>
          <w:rFonts w:hint="eastAsia" w:ascii="仿宋" w:hAnsi="仿宋" w:eastAsia="仿宋" w:cs="仿宋"/>
          <w:smallCaps w:val="0"/>
          <w:kern w:val="0"/>
          <w:sz w:val="28"/>
          <w:szCs w:val="28"/>
          <w:highlight w:val="none"/>
        </w:rPr>
        <w:t xml:space="preserve">法定代表人（经营者）（签字或盖章）：陈演示（验收演示）</w:t>
      </w:r>
      <w:r>
        <w:rPr>
          <w:rFonts w:hint="eastAsia" w:ascii="仿宋" w:hAnsi="仿宋" w:eastAsia="仿宋" w:cs="仿宋"/>
          <w:smallCaps w:val="0"/>
          <w:kern w:val="0"/>
          <w:sz w:val="28"/>
          <w:szCs w:val="28"/>
          <w:highlight w:val="none"/>
        </w:rPr>
        <w:t xml:space="preserve">        </w:t>
      </w:r>
    </w:p>
    <w:p w14:paraId="43795FAB">
      <w:pPr>
        <w:widowControl/>
        <w:kinsoku/>
        <w:wordWrap/>
        <w:overflowPunct/>
        <w:topLinePunct w:val="0"/>
        <w:bidi w:val="0"/>
        <w:spacing w:line="360" w:lineRule="auto"/>
        <w:ind w:firstLine="5600" w:firstLineChars="200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2026 年 8 月 19 日</w:t>
      </w:r>
    </w:p>
    <w:p w14:paraId="1B27C44A">
      <w:pPr>
        <w:widowControl/>
        <w:kinsoku/>
        <w:wordWrap/>
        <w:overflowPunct/>
        <w:topLinePunct w:val="0"/>
        <w:bidi w:val="0"/>
        <w:spacing w:line="360" w:lineRule="auto"/>
        <w:ind w:firstLine="5600" w:firstLineChars="2000"/>
        <w:rPr>
          <w:rFonts w:hint="eastAsia" w:ascii="仿宋" w:hAnsi="仿宋" w:eastAsia="仿宋" w:cs="仿宋"/>
          <w:smallCaps w:val="0"/>
          <w:kern w:val="0"/>
          <w:sz w:val="28"/>
          <w:szCs w:val="28"/>
          <w:highlight w:val="none"/>
        </w:rPr>
      </w:pPr>
    </w:p>
    <w:p>
      <w:pPr>
        <w:pStyle w:val="Heading4"/>
        <w:outlineLvl w:val="9"/>
        <w:rPr/>
      </w:pPr>
      <w:r>
        <w:t xml:space="preserve">数据问题处置时效承诺函</w:t>
      </w:r>
    </w:p>
    <w:p>
      <w:pPr>
        <w:pStyle w:val="TenderBody"/>
        <w:rPr/>
      </w:pPr>
      <w:r>
        <w:t xml:space="preserve">致：赣州银行股份有限公司</w:t>
      </w:r>
    </w:p>
    <w:p>
      <w:pPr>
        <w:pStyle w:val="TenderBody"/>
        <w:rPr/>
      </w:pPr>
      <w:r>
        <w:t xml:space="preserve">我公司愿意针对赣州银行股份有限公司2026年度外部数据供应商入围采购项目（标段三：行业产业链、资讯与研究分析、ESG与绿色金融数据）项目进行投标，并承诺如下：</w:t>
      </w:r>
    </w:p>
    <w:p>
      <w:pPr>
        <w:pStyle w:val="TenderBody"/>
        <w:rPr/>
      </w:pPr>
      <w:r>
        <w:t xml:space="preserve">因数据准确性、稳定性、及时性等数据质量问题出现异议，我方承诺在1个工作日内配合招标人进行处理，出具异议处理方案。若有违背，我公司承担由此产生的一切后果。</w:t>
      </w:r>
      <w:commentRangeStart w:id="10"/>
      <w:r/>
      <w:commentRangeEnd w:id="10"/>
      <w:r>
        <w:rPr>
          <w:rStyle w:val="CommentReference"/>
        </w:rPr>
        <w:commentReference w:id="10"/>
      </w:r>
    </w:p>
    <w:p w14:paraId="57CB7F7B">
      <w:pPr>
        <w:widowControl/>
        <w:kinsoku/>
        <w:wordWrap/>
        <w:overflowPunct/>
        <w:topLinePunct w:val="0"/>
        <w:bidi w:val="0"/>
        <w:spacing w:line="360" w:lineRule="auto"/>
        <w:ind w:firstLine="5600" w:firstLineChars="2000"/>
        <w:rPr>
          <w:rFonts w:hint="eastAsia" w:ascii="仿宋" w:hAnsi="仿宋" w:eastAsia="仿宋" w:cs="仿宋"/>
          <w:smallCaps w:val="0"/>
          <w:kern w:val="0"/>
          <w:sz w:val="28"/>
          <w:szCs w:val="28"/>
          <w:highlight w:val="none"/>
        </w:rPr>
      </w:pPr>
    </w:p>
    <w:p>
      <w:pPr>
        <w:pStyle w:val="Heading2"/>
      </w:pPr>
      <w:r>
        <w:t>6.7 数据服务响应时效承诺函（格式6-4）</w:t>
      </w:r>
    </w:p>
    <w:p w14:paraId="10855D6F">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highlight w:val="none"/>
        </w:rPr>
      </w:pPr>
      <w:r>
        <w:rPr>
          <w:rFonts w:hint="eastAsia" w:ascii="仿宋" w:hAnsi="仿宋" w:eastAsia="仿宋" w:cs="仿宋"/>
          <w:smallCaps w:val="0"/>
          <w:kern w:val="0"/>
          <w:sz w:val="28"/>
          <w:szCs w:val="28"/>
          <w:highlight w:val="none"/>
        </w:rPr>
        <w:t>特此声明！</w:t>
      </w:r>
    </w:p>
    <w:p w14:paraId="050C64D5">
      <w:pPr>
        <w:rPr>
          <w:rFonts w:hint="eastAsia" w:ascii="仿宋" w:hAnsi="仿宋" w:eastAsia="仿宋" w:cs="仿宋"/>
          <w:highlight w:val="none"/>
        </w:rPr>
      </w:pPr>
    </w:p>
    <w:p w14:paraId="512FC5E9">
      <w:pPr>
        <w:spacing w:line="360" w:lineRule="auto"/>
        <w:ind w:right="420"/>
        <w:rPr>
          <w:rFonts w:hint="eastAsia" w:ascii="仿宋" w:hAnsi="仿宋" w:eastAsia="仿宋" w:cs="仿宋"/>
          <w:sz w:val="27"/>
          <w:szCs w:val="27"/>
          <w:highlight w:val="none"/>
        </w:rPr>
      </w:pPr>
    </w:p>
    <w:p w14:paraId="4994CAA3">
      <w:pPr>
        <w:pageBreakBefore w:val="0"/>
        <w:widowControl/>
        <w:kinsoku/>
        <w:wordWrap/>
        <w:overflowPunct/>
        <w:topLinePunct w:val="0"/>
        <w:bidi w:val="0"/>
        <w:spacing w:beforeAutospacing="0" w:line="360" w:lineRule="auto"/>
        <w:ind w:left="0" w:leftChars="0" w:firstLine="4900" w:firstLineChars="17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 xml:space="preserve">投标供应商名称（公章）：杭州研数科技有限公司（验收演示）</w:t>
      </w:r>
    </w:p>
    <w:p w14:paraId="4DEBF32F">
      <w:pPr>
        <w:pageBreakBefore w:val="0"/>
        <w:widowControl/>
        <w:kinsoku/>
        <w:wordWrap/>
        <w:overflowPunct/>
        <w:topLinePunct w:val="0"/>
        <w:bidi w:val="0"/>
        <w:spacing w:beforeAutospacing="0" w:line="360" w:lineRule="auto"/>
        <w:ind w:left="0" w:leftChars="0" w:firstLine="140" w:firstLineChars="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                   </w:t>
      </w:r>
      <w:r>
        <w:rPr>
          <w:rFonts w:hint="eastAsia" w:ascii="仿宋" w:hAnsi="仿宋" w:eastAsia="仿宋" w:cs="仿宋"/>
          <w:smallCaps w:val="0"/>
          <w:kern w:val="0"/>
          <w:sz w:val="28"/>
          <w:szCs w:val="28"/>
          <w:highlight w:val="none"/>
        </w:rPr>
        <w:t xml:space="preserve">法定代表人（经营者）（签字或盖章）：陈演示（验收演示）</w:t>
      </w:r>
      <w:r>
        <w:rPr>
          <w:rFonts w:hint="eastAsia" w:ascii="仿宋" w:hAnsi="仿宋" w:eastAsia="仿宋" w:cs="仿宋"/>
          <w:smallCaps w:val="0"/>
          <w:kern w:val="0"/>
          <w:sz w:val="28"/>
          <w:szCs w:val="28"/>
          <w:highlight w:val="none"/>
        </w:rPr>
        <w:t xml:space="preserve">        </w:t>
      </w:r>
    </w:p>
    <w:p w14:paraId="68279589">
      <w:pPr>
        <w:ind w:firstLine="5320" w:firstLineChars="190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2026 年 8 月 19 日</w:t>
      </w:r>
    </w:p>
    <w:p w14:paraId="72325D4C">
      <w:pPr>
        <w:ind w:firstLine="5320" w:firstLineChars="1900"/>
        <w:rPr>
          <w:rFonts w:hint="eastAsia" w:ascii="仿宋" w:hAnsi="仿宋" w:eastAsia="仿宋" w:cs="仿宋"/>
          <w:smallCaps w:val="0"/>
          <w:kern w:val="0"/>
          <w:sz w:val="28"/>
          <w:szCs w:val="28"/>
          <w:highlight w:val="none"/>
        </w:rPr>
      </w:pPr>
    </w:p>
    <w:p>
      <w:pPr>
        <w:pStyle w:val="Heading4"/>
        <w:outlineLvl w:val="9"/>
        <w:rPr/>
      </w:pPr>
      <w:r>
        <w:t xml:space="preserve">数据服务响应时效承诺函</w:t>
      </w:r>
    </w:p>
    <w:p>
      <w:pPr>
        <w:pStyle w:val="TenderBody"/>
        <w:rPr/>
      </w:pPr>
      <w:r>
        <w:t xml:space="preserve">致：赣州银行股份有限公司</w:t>
      </w:r>
    </w:p>
    <w:p>
      <w:pPr>
        <w:pStyle w:val="TenderBody"/>
        <w:rPr/>
      </w:pPr>
      <w:r>
        <w:t xml:space="preserve">我公司愿意针对赣州银行股份有限公司2026年度外部数据供应商入围采购项目（标段三：行业产业链、资讯与研究分析、ESG与绿色金融数据）项目进行投标，并承诺如下：</w:t>
      </w:r>
    </w:p>
    <w:p>
      <w:pPr>
        <w:pStyle w:val="TenderBody"/>
        <w:rPr/>
      </w:pPr>
      <w:r>
        <w:t xml:space="preserve">我方承诺接到行方数据服务需求后，3个工作日内响应。若有违背，我公司承担由此产生的一切后果。</w:t>
      </w:r>
      <w:commentRangeStart w:id="11"/>
      <w:r/>
      <w:commentRangeEnd w:id="11"/>
      <w:r>
        <w:rPr>
          <w:rStyle w:val="CommentReference"/>
        </w:rPr>
        <w:commentReference w:id="11"/>
      </w:r>
    </w:p>
    <w:p w14:paraId="7B88C7DE">
      <w:pPr>
        <w:ind w:firstLine="5320" w:firstLineChars="1900"/>
        <w:rPr>
          <w:rFonts w:hint="eastAsia" w:ascii="仿宋" w:hAnsi="仿宋" w:eastAsia="仿宋" w:cs="仿宋"/>
          <w:smallCaps w:val="0"/>
          <w:kern w:val="0"/>
          <w:sz w:val="28"/>
          <w:szCs w:val="28"/>
          <w:highlight w:val="none"/>
        </w:rPr>
      </w:pP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6"/>
        <w:gridCol w:w="1336"/>
        <w:gridCol w:w="719"/>
        <w:gridCol w:w="688"/>
        <w:gridCol w:w="1368"/>
        <w:gridCol w:w="1027"/>
        <w:gridCol w:w="1028"/>
        <w:gridCol w:w="1020"/>
        <w:gridCol w:w="1020"/>
      </w:tblGrid>
      <w:tr w14:paraId="763BA4E8">
        <w:trPr>
          <w:jc w:val="center"/>
        </w:trPr>
        <w:tc>
          <w:tcPr>
            <w:tcW w:w="1336" w:type="dxa"/>
            <w:noWrap w:val="0"/>
            <w:vAlign w:val="top"/>
          </w:tcPr>
          <w:p w14:paraId="7814B243">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lang w:eastAsia="zh-CN"/>
              </w:rPr>
            </w:pPr>
            <w:r>
              <w:rPr>
                <w:rFonts w:hint="eastAsia" w:ascii="仿宋" w:hAnsi="仿宋" w:eastAsia="仿宋" w:cs="仿宋"/>
                <w:b/>
                <w:bCs/>
                <w:sz w:val="28"/>
                <w:szCs w:val="28"/>
                <w:highlight w:val="none"/>
                <w:lang w:eastAsia="zh-CN"/>
              </w:rPr>
              <w:t>序号</w:t>
            </w:r>
          </w:p>
        </w:tc>
        <w:tc>
          <w:tcPr>
            <w:tcW w:w="1336" w:type="dxa"/>
            <w:noWrap w:val="0"/>
            <w:vAlign w:val="top"/>
          </w:tcPr>
          <w:p w14:paraId="61D9A744">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rPr>
            </w:pPr>
            <w:r>
              <w:rPr>
                <w:rFonts w:hint="eastAsia" w:ascii="仿宋" w:hAnsi="仿宋" w:eastAsia="仿宋" w:cs="仿宋"/>
                <w:b/>
                <w:bCs/>
                <w:sz w:val="28"/>
                <w:szCs w:val="28"/>
                <w:highlight w:val="none"/>
                <w:lang w:eastAsia="zh-CN"/>
              </w:rPr>
              <w:t>姓名</w:t>
            </w:r>
          </w:p>
        </w:tc>
        <w:tc>
          <w:tcPr>
            <w:tcW w:w="719" w:type="dxa"/>
            <w:noWrap w:val="0"/>
            <w:vAlign w:val="top"/>
          </w:tcPr>
          <w:p w14:paraId="07DBEB25">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年龄</w:t>
            </w:r>
          </w:p>
        </w:tc>
        <w:tc>
          <w:tcPr>
            <w:tcW w:w="688" w:type="dxa"/>
            <w:noWrap w:val="0"/>
            <w:vAlign w:val="top"/>
          </w:tcPr>
          <w:p w14:paraId="2C177397">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性别</w:t>
            </w:r>
          </w:p>
        </w:tc>
        <w:tc>
          <w:tcPr>
            <w:tcW w:w="1368" w:type="dxa"/>
            <w:noWrap w:val="0"/>
            <w:vAlign w:val="top"/>
          </w:tcPr>
          <w:p w14:paraId="04F777F1">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lang w:eastAsia="zh-CN"/>
              </w:rPr>
              <w:t>岗位</w:t>
            </w:r>
          </w:p>
        </w:tc>
        <w:tc>
          <w:tcPr>
            <w:tcW w:w="1027" w:type="dxa"/>
            <w:noWrap w:val="0"/>
            <w:vAlign w:val="top"/>
          </w:tcPr>
          <w:p w14:paraId="6DDD2FDE">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学历</w:t>
            </w:r>
          </w:p>
        </w:tc>
        <w:tc>
          <w:tcPr>
            <w:tcW w:w="1028" w:type="dxa"/>
            <w:noWrap w:val="0"/>
            <w:vAlign w:val="top"/>
          </w:tcPr>
          <w:p w14:paraId="68372DBE">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工作年限</w:t>
            </w:r>
          </w:p>
        </w:tc>
        <w:tc>
          <w:tcPr>
            <w:tcW w:w="1020" w:type="dxa"/>
            <w:noWrap w:val="0"/>
            <w:vAlign w:val="top"/>
          </w:tcPr>
          <w:p w14:paraId="6001464E">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val="en-US" w:eastAsia="zh-CN"/>
              </w:rPr>
            </w:pPr>
            <w:r>
              <w:rPr>
                <w:rFonts w:hint="eastAsia" w:ascii="仿宋" w:hAnsi="仿宋" w:eastAsia="仿宋" w:cs="仿宋"/>
                <w:b/>
                <w:bCs/>
                <w:smallCaps w:val="0"/>
                <w:color w:val="auto"/>
                <w:kern w:val="0"/>
                <w:sz w:val="28"/>
                <w:szCs w:val="28"/>
                <w:highlight w:val="none"/>
                <w:lang w:val="en-US" w:eastAsia="zh-CN" w:bidi="ar-SA"/>
              </w:rPr>
              <w:t>7×24 小时联络方式</w:t>
            </w:r>
          </w:p>
        </w:tc>
        <w:tc>
          <w:tcPr>
            <w:tcW w:w="1020" w:type="dxa"/>
            <w:noWrap w:val="0"/>
            <w:vAlign w:val="top"/>
          </w:tcPr>
          <w:p w14:paraId="2B5A09FB">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材料所在页码</w:t>
            </w:r>
          </w:p>
        </w:tc>
      </w:tr>
      <w:tr w14:paraId="68A45301">
        <w:trPr>
          <w:jc w:val="center"/>
        </w:trPr>
        <w:tc>
          <w:tcPr>
            <w:tcW w:w="1336" w:type="dxa"/>
            <w:noWrap w:val="0"/>
            <w:vAlign w:val="top"/>
          </w:tcPr>
          <w:p w14:paraId="4AA4992E">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1</w:t>
            </w:r>
          </w:p>
        </w:tc>
        <w:tc>
          <w:tcPr>
            <w:tcW w:w="1336" w:type="dxa"/>
            <w:noWrap w:val="0"/>
            <w:vAlign w:val="top"/>
          </w:tcPr>
          <w:p w14:paraId="63B0FD3A">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例子：【张三】</w:t>
            </w:r>
          </w:p>
        </w:tc>
        <w:tc>
          <w:tcPr>
            <w:tcW w:w="719" w:type="dxa"/>
            <w:noWrap w:val="0"/>
            <w:vAlign w:val="top"/>
          </w:tcPr>
          <w:p w14:paraId="20F7A74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30</w:t>
            </w:r>
          </w:p>
        </w:tc>
        <w:tc>
          <w:tcPr>
            <w:tcW w:w="688" w:type="dxa"/>
            <w:noWrap w:val="0"/>
            <w:vAlign w:val="top"/>
          </w:tcPr>
          <w:p w14:paraId="4B1C69A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男</w:t>
            </w:r>
          </w:p>
        </w:tc>
        <w:tc>
          <w:tcPr>
            <w:tcW w:w="1368" w:type="dxa"/>
            <w:noWrap w:val="0"/>
            <w:vAlign w:val="top"/>
          </w:tcPr>
          <w:p w14:paraId="2791E182">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客户经理</w:t>
            </w:r>
          </w:p>
        </w:tc>
        <w:tc>
          <w:tcPr>
            <w:tcW w:w="1027" w:type="dxa"/>
            <w:noWrap w:val="0"/>
            <w:vAlign w:val="top"/>
          </w:tcPr>
          <w:p w14:paraId="01A7925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本科</w:t>
            </w:r>
          </w:p>
        </w:tc>
        <w:tc>
          <w:tcPr>
            <w:tcW w:w="1028" w:type="dxa"/>
            <w:noWrap w:val="0"/>
            <w:vAlign w:val="top"/>
          </w:tcPr>
          <w:p w14:paraId="6B0D2800">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3</w:t>
            </w:r>
          </w:p>
        </w:tc>
        <w:tc>
          <w:tcPr>
            <w:tcW w:w="1020" w:type="dxa"/>
            <w:noWrap w:val="0"/>
            <w:vAlign w:val="top"/>
          </w:tcPr>
          <w:p w14:paraId="50D2F212">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1020" w:type="dxa"/>
            <w:noWrap w:val="0"/>
            <w:vAlign w:val="top"/>
          </w:tcPr>
          <w:p w14:paraId="12559BF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50-51</w:t>
            </w:r>
          </w:p>
        </w:tc>
      </w:tr>
      <w:tr w14:paraId="7E25739E">
        <w:trPr>
          <w:jc w:val="center"/>
        </w:trPr>
        <w:tc>
          <w:tcPr>
            <w:tcW w:w="1336" w:type="dxa"/>
            <w:noWrap w:val="0"/>
            <w:vAlign w:val="top"/>
          </w:tcPr>
          <w:p w14:paraId="29A7E136">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1336" w:type="dxa"/>
            <w:noWrap w:val="0"/>
            <w:vAlign w:val="top"/>
          </w:tcPr>
          <w:p w14:paraId="0902F23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例子：【张三】</w:t>
            </w:r>
          </w:p>
        </w:tc>
        <w:tc>
          <w:tcPr>
            <w:tcW w:w="719" w:type="dxa"/>
            <w:noWrap w:val="0"/>
            <w:vAlign w:val="top"/>
          </w:tcPr>
          <w:p w14:paraId="0D842BF5">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34</w:t>
            </w:r>
          </w:p>
        </w:tc>
        <w:tc>
          <w:tcPr>
            <w:tcW w:w="688" w:type="dxa"/>
            <w:noWrap w:val="0"/>
            <w:vAlign w:val="top"/>
          </w:tcPr>
          <w:p w14:paraId="6C2C176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男</w:t>
            </w:r>
          </w:p>
        </w:tc>
        <w:tc>
          <w:tcPr>
            <w:tcW w:w="1368" w:type="dxa"/>
            <w:noWrap w:val="0"/>
            <w:vAlign w:val="top"/>
          </w:tcPr>
          <w:p w14:paraId="52A32496">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eastAsia="zh-CN"/>
              </w:rPr>
              <w:t>数据技术</w:t>
            </w:r>
          </w:p>
        </w:tc>
        <w:tc>
          <w:tcPr>
            <w:tcW w:w="1027" w:type="dxa"/>
            <w:noWrap w:val="0"/>
            <w:vAlign w:val="top"/>
          </w:tcPr>
          <w:p w14:paraId="4760DC82">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本科</w:t>
            </w:r>
          </w:p>
        </w:tc>
        <w:tc>
          <w:tcPr>
            <w:tcW w:w="1028" w:type="dxa"/>
            <w:noWrap w:val="0"/>
            <w:vAlign w:val="top"/>
          </w:tcPr>
          <w:p w14:paraId="4F5CA6F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5</w:t>
            </w:r>
          </w:p>
        </w:tc>
        <w:tc>
          <w:tcPr>
            <w:tcW w:w="1020" w:type="dxa"/>
            <w:noWrap w:val="0"/>
            <w:vAlign w:val="top"/>
          </w:tcPr>
          <w:p w14:paraId="41067E11">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1020" w:type="dxa"/>
            <w:noWrap w:val="0"/>
            <w:vAlign w:val="top"/>
          </w:tcPr>
          <w:p w14:paraId="69AE9A94">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52-53</w:t>
            </w:r>
          </w:p>
        </w:tc>
      </w:tr>
      <w:tr w14:paraId="3CEEB6D7">
        <w:trPr>
          <w:jc w:val="center"/>
        </w:trPr>
        <w:tc>
          <w:tcPr>
            <w:tcW w:w="1336" w:type="dxa"/>
            <w:noWrap w:val="0"/>
            <w:vAlign w:val="top"/>
          </w:tcPr>
          <w:p w14:paraId="7C08B43D">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w:t>
            </w:r>
          </w:p>
        </w:tc>
        <w:tc>
          <w:tcPr>
            <w:tcW w:w="1336" w:type="dxa"/>
            <w:noWrap w:val="0"/>
            <w:vAlign w:val="top"/>
          </w:tcPr>
          <w:p w14:paraId="5197D973">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例子：李四</w:t>
            </w:r>
          </w:p>
        </w:tc>
        <w:tc>
          <w:tcPr>
            <w:tcW w:w="719" w:type="dxa"/>
            <w:noWrap w:val="0"/>
            <w:vAlign w:val="top"/>
          </w:tcPr>
          <w:p w14:paraId="09504C61">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32</w:t>
            </w:r>
          </w:p>
        </w:tc>
        <w:tc>
          <w:tcPr>
            <w:tcW w:w="688" w:type="dxa"/>
            <w:noWrap w:val="0"/>
            <w:vAlign w:val="top"/>
          </w:tcPr>
          <w:p w14:paraId="4C94D10A">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男</w:t>
            </w:r>
          </w:p>
        </w:tc>
        <w:tc>
          <w:tcPr>
            <w:tcW w:w="1368" w:type="dxa"/>
            <w:noWrap w:val="0"/>
            <w:vAlign w:val="top"/>
          </w:tcPr>
          <w:p w14:paraId="5A3BF1F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eastAsia="zh-CN"/>
              </w:rPr>
              <w:t>数据技术</w:t>
            </w:r>
          </w:p>
        </w:tc>
        <w:tc>
          <w:tcPr>
            <w:tcW w:w="1027" w:type="dxa"/>
            <w:noWrap w:val="0"/>
            <w:vAlign w:val="top"/>
          </w:tcPr>
          <w:p w14:paraId="69AD61E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本科</w:t>
            </w:r>
          </w:p>
        </w:tc>
        <w:tc>
          <w:tcPr>
            <w:tcW w:w="1028" w:type="dxa"/>
            <w:noWrap w:val="0"/>
            <w:vAlign w:val="top"/>
          </w:tcPr>
          <w:p w14:paraId="78AAE54D">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7</w:t>
            </w:r>
          </w:p>
        </w:tc>
        <w:tc>
          <w:tcPr>
            <w:tcW w:w="1020" w:type="dxa"/>
            <w:noWrap w:val="0"/>
            <w:vAlign w:val="top"/>
          </w:tcPr>
          <w:p w14:paraId="7D6CA7E0">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1020" w:type="dxa"/>
            <w:noWrap w:val="0"/>
            <w:vAlign w:val="top"/>
          </w:tcPr>
          <w:p w14:paraId="571B615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53-54</w:t>
            </w:r>
          </w:p>
        </w:tc>
      </w:tr>
      <w:tr w14:paraId="13556E04">
        <w:trPr>
          <w:jc w:val="center"/>
        </w:trPr>
        <w:tc>
          <w:tcPr>
            <w:tcW w:w="1336" w:type="dxa"/>
            <w:noWrap w:val="0"/>
            <w:vAlign w:val="top"/>
          </w:tcPr>
          <w:p w14:paraId="7A15242E">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4</w:t>
            </w:r>
          </w:p>
        </w:tc>
        <w:tc>
          <w:tcPr>
            <w:tcW w:w="1336" w:type="dxa"/>
            <w:noWrap w:val="0"/>
            <w:vAlign w:val="top"/>
          </w:tcPr>
          <w:p w14:paraId="3BA63DE4">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p>
        </w:tc>
        <w:tc>
          <w:tcPr>
            <w:tcW w:w="719" w:type="dxa"/>
            <w:noWrap w:val="0"/>
            <w:vAlign w:val="top"/>
          </w:tcPr>
          <w:p w14:paraId="62AC6796">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688" w:type="dxa"/>
            <w:noWrap w:val="0"/>
            <w:vAlign w:val="top"/>
          </w:tcPr>
          <w:p w14:paraId="35CA729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p>
        </w:tc>
        <w:tc>
          <w:tcPr>
            <w:tcW w:w="1368" w:type="dxa"/>
            <w:noWrap w:val="0"/>
            <w:vAlign w:val="top"/>
          </w:tcPr>
          <w:p w14:paraId="59DABF75">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p>
        </w:tc>
        <w:tc>
          <w:tcPr>
            <w:tcW w:w="1027" w:type="dxa"/>
            <w:noWrap w:val="0"/>
            <w:vAlign w:val="top"/>
          </w:tcPr>
          <w:p w14:paraId="25BC9D1A">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p>
        </w:tc>
        <w:tc>
          <w:tcPr>
            <w:tcW w:w="1028" w:type="dxa"/>
            <w:noWrap w:val="0"/>
            <w:vAlign w:val="top"/>
          </w:tcPr>
          <w:p w14:paraId="45B6B49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1020" w:type="dxa"/>
            <w:noWrap w:val="0"/>
            <w:vAlign w:val="top"/>
          </w:tcPr>
          <w:p w14:paraId="513DF1C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1020" w:type="dxa"/>
            <w:noWrap w:val="0"/>
            <w:vAlign w:val="top"/>
          </w:tcPr>
          <w:p w14:paraId="173A7A13">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r>
    </w:tbl>
    <w:p>
      <w:pPr>
        <w:pStyle w:val="Heading2"/>
      </w:pPr>
      <w:r>
        <w:t>6.8 服务团队清单（格式6-5）</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6"/>
        <w:gridCol w:w="1336"/>
        <w:gridCol w:w="719"/>
        <w:gridCol w:w="688"/>
        <w:gridCol w:w="1368"/>
        <w:gridCol w:w="1027"/>
        <w:gridCol w:w="1028"/>
        <w:gridCol w:w="1020"/>
        <w:gridCol w:w="1020"/>
      </w:tblGrid>
      <w:tr w14:paraId="763BA4E8">
        <w:trPr>
          <w:jc w:val="center"/>
        </w:trPr>
        <w:tc>
          <w:tcPr>
            <w:tcW w:w="1336" w:type="dxa"/>
            <w:noWrap w:val="0"/>
            <w:vAlign w:val="top"/>
          </w:tcPr>
          <w:p w14:paraId="7814B243">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lang w:eastAsia="zh-CN"/>
              </w:rPr>
            </w:pPr>
            <w:r>
              <w:rPr>
                <w:rFonts w:hint="eastAsia" w:ascii="仿宋" w:hAnsi="仿宋" w:eastAsia="仿宋" w:cs="仿宋"/>
                <w:b/>
                <w:bCs/>
                <w:sz w:val="28"/>
                <w:szCs w:val="28"/>
                <w:highlight w:val="none"/>
                <w:lang w:eastAsia="zh-CN"/>
              </w:rPr>
              <w:t>序号</w:t>
            </w:r>
          </w:p>
        </w:tc>
        <w:tc>
          <w:tcPr>
            <w:tcW w:w="1336" w:type="dxa"/>
            <w:noWrap w:val="0"/>
            <w:vAlign w:val="top"/>
          </w:tcPr>
          <w:p w14:paraId="61D9A744">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rPr>
            </w:pPr>
            <w:r>
              <w:rPr>
                <w:rFonts w:hint="eastAsia" w:ascii="仿宋" w:hAnsi="仿宋" w:eastAsia="仿宋" w:cs="仿宋"/>
                <w:b/>
                <w:bCs/>
                <w:sz w:val="28"/>
                <w:szCs w:val="28"/>
                <w:highlight w:val="none"/>
                <w:lang w:eastAsia="zh-CN"/>
              </w:rPr>
              <w:t>姓名</w:t>
            </w:r>
          </w:p>
        </w:tc>
        <w:tc>
          <w:tcPr>
            <w:tcW w:w="719" w:type="dxa"/>
            <w:noWrap w:val="0"/>
            <w:vAlign w:val="top"/>
          </w:tcPr>
          <w:p w14:paraId="07DBEB25">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年龄</w:t>
            </w:r>
          </w:p>
        </w:tc>
        <w:tc>
          <w:tcPr>
            <w:tcW w:w="688" w:type="dxa"/>
            <w:noWrap w:val="0"/>
            <w:vAlign w:val="top"/>
          </w:tcPr>
          <w:p w14:paraId="2C177397">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性别</w:t>
            </w:r>
          </w:p>
        </w:tc>
        <w:tc>
          <w:tcPr>
            <w:tcW w:w="1368" w:type="dxa"/>
            <w:noWrap w:val="0"/>
            <w:vAlign w:val="top"/>
          </w:tcPr>
          <w:p w14:paraId="04F777F1">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lang w:eastAsia="zh-CN"/>
              </w:rPr>
              <w:t>岗位</w:t>
            </w:r>
          </w:p>
        </w:tc>
        <w:tc>
          <w:tcPr>
            <w:tcW w:w="1027" w:type="dxa"/>
            <w:noWrap w:val="0"/>
            <w:vAlign w:val="top"/>
          </w:tcPr>
          <w:p w14:paraId="6DDD2FDE">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学历</w:t>
            </w:r>
          </w:p>
        </w:tc>
        <w:tc>
          <w:tcPr>
            <w:tcW w:w="1028" w:type="dxa"/>
            <w:noWrap w:val="0"/>
            <w:vAlign w:val="top"/>
          </w:tcPr>
          <w:p w14:paraId="68372DBE">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工作年限</w:t>
            </w:r>
          </w:p>
        </w:tc>
        <w:tc>
          <w:tcPr>
            <w:tcW w:w="1020" w:type="dxa"/>
            <w:noWrap w:val="0"/>
            <w:vAlign w:val="top"/>
          </w:tcPr>
          <w:p w14:paraId="6001464E">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val="en-US" w:eastAsia="zh-CN"/>
              </w:rPr>
            </w:pPr>
            <w:r>
              <w:rPr>
                <w:rFonts w:hint="eastAsia" w:ascii="仿宋" w:hAnsi="仿宋" w:eastAsia="仿宋" w:cs="仿宋"/>
                <w:b/>
                <w:bCs/>
                <w:smallCaps w:val="0"/>
                <w:color w:val="auto"/>
                <w:kern w:val="0"/>
                <w:sz w:val="28"/>
                <w:szCs w:val="28"/>
                <w:highlight w:val="none"/>
                <w:lang w:val="en-US" w:eastAsia="zh-CN" w:bidi="ar-SA"/>
              </w:rPr>
              <w:t>7×24 小时联络方式</w:t>
            </w:r>
          </w:p>
        </w:tc>
        <w:tc>
          <w:tcPr>
            <w:tcW w:w="1020" w:type="dxa"/>
            <w:noWrap w:val="0"/>
            <w:vAlign w:val="top"/>
          </w:tcPr>
          <w:p w14:paraId="2B5A09FB">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材料所在页码</w:t>
            </w:r>
          </w:p>
        </w:tc>
      </w:tr>
      <w:tr w14:paraId="68A45301">
        <w:trPr>
          <w:jc w:val="center"/>
        </w:trPr>
        <w:tc>
          <w:tcPr>
            <w:tcW w:w="1336" w:type="dxa"/>
            <w:noWrap w:val="0"/>
            <w:vAlign w:val="top"/>
          </w:tcPr>
          <w:p w14:paraId="4AA4992E">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1</w:t>
            </w:r>
          </w:p>
        </w:tc>
        <w:tc>
          <w:tcPr>
            <w:tcW w:w="1336" w:type="dxa"/>
            <w:noWrap w:val="0"/>
            <w:vAlign w:val="top"/>
          </w:tcPr>
          <w:p w14:paraId="63B0FD3A">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 xml:space="preserve">王演示A（验收演示，正式投标前替换为真实拟投入人员）</w:t>
            </w:r>
          </w:p>
        </w:tc>
        <w:tc>
          <w:tcPr>
            <w:tcW w:w="719" w:type="dxa"/>
            <w:noWrap w:val="0"/>
            <w:vAlign w:val="top"/>
          </w:tcPr>
          <w:p w14:paraId="20F7A74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 xml:space="preserve">30（验收演示）</w:t>
            </w:r>
          </w:p>
        </w:tc>
        <w:tc>
          <w:tcPr>
            <w:tcW w:w="688" w:type="dxa"/>
            <w:noWrap w:val="0"/>
            <w:vAlign w:val="top"/>
          </w:tcPr>
          <w:p w14:paraId="4B1C69A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男</w:t>
            </w:r>
          </w:p>
        </w:tc>
        <w:tc>
          <w:tcPr>
            <w:tcW w:w="1368" w:type="dxa"/>
            <w:noWrap w:val="0"/>
            <w:vAlign w:val="top"/>
          </w:tcPr>
          <w:p w14:paraId="2791E182">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客户经理</w:t>
            </w:r>
          </w:p>
        </w:tc>
        <w:tc>
          <w:tcPr>
            <w:tcW w:w="1027" w:type="dxa"/>
            <w:noWrap w:val="0"/>
            <w:vAlign w:val="top"/>
          </w:tcPr>
          <w:p w14:paraId="01A7925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 xml:space="preserve">本科（验收演示）</w:t>
            </w:r>
          </w:p>
        </w:tc>
        <w:tc>
          <w:tcPr>
            <w:tcW w:w="1028" w:type="dxa"/>
            <w:noWrap w:val="0"/>
            <w:vAlign w:val="top"/>
          </w:tcPr>
          <w:p w14:paraId="6B0D2800">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 xml:space="preserve">3 年（验收演示）</w:t>
            </w:r>
          </w:p>
        </w:tc>
        <w:tc>
          <w:tcPr>
            <w:tcW w:w="1020" w:type="dxa"/>
            <w:noWrap w:val="0"/>
            <w:vAlign w:val="top"/>
          </w:tcPr>
          <w:p w14:paraId="50D2F212">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t xml:space="preserve">0571-00000002（验收演示）</w:t>
            </w:r>
          </w:p>
        </w:tc>
        <w:tc>
          <w:tcPr>
            <w:tcW w:w="1020" w:type="dxa"/>
            <w:noWrap w:val="0"/>
            <w:vAlign w:val="top"/>
          </w:tcPr>
          <w:p w14:paraId="12559BF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50-51</w:t>
            </w:r>
          </w:p>
        </w:tc>
      </w:tr>
      <w:tr w14:paraId="7E25739E">
        <w:trPr>
          <w:jc w:val="center"/>
        </w:trPr>
        <w:tc>
          <w:tcPr>
            <w:tcW w:w="1336" w:type="dxa"/>
            <w:noWrap w:val="0"/>
            <w:vAlign w:val="top"/>
          </w:tcPr>
          <w:p w14:paraId="29A7E136">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1336" w:type="dxa"/>
            <w:noWrap w:val="0"/>
            <w:vAlign w:val="top"/>
          </w:tcPr>
          <w:p w14:paraId="0902F23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 xml:space="preserve">李演示B（验收演示，正式投标前替换为真实拟投入人员）</w:t>
            </w:r>
          </w:p>
        </w:tc>
        <w:tc>
          <w:tcPr>
            <w:tcW w:w="719" w:type="dxa"/>
            <w:noWrap w:val="0"/>
            <w:vAlign w:val="top"/>
          </w:tcPr>
          <w:p w14:paraId="0D842BF5">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 xml:space="preserve">35（验收演示）</w:t>
            </w:r>
          </w:p>
        </w:tc>
        <w:tc>
          <w:tcPr>
            <w:tcW w:w="688" w:type="dxa"/>
            <w:noWrap w:val="0"/>
            <w:vAlign w:val="top"/>
          </w:tcPr>
          <w:p w14:paraId="6C2C176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男</w:t>
            </w:r>
          </w:p>
        </w:tc>
        <w:tc>
          <w:tcPr>
            <w:tcW w:w="1368" w:type="dxa"/>
            <w:noWrap w:val="0"/>
            <w:vAlign w:val="top"/>
          </w:tcPr>
          <w:p w14:paraId="52A32496">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eastAsia="zh-CN"/>
              </w:rPr>
              <w:t>数据技术</w:t>
            </w:r>
          </w:p>
        </w:tc>
        <w:tc>
          <w:tcPr>
            <w:tcW w:w="1027" w:type="dxa"/>
            <w:noWrap w:val="0"/>
            <w:vAlign w:val="top"/>
          </w:tcPr>
          <w:p w14:paraId="4760DC82">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 xml:space="preserve">本科（验收演示）</w:t>
            </w:r>
          </w:p>
        </w:tc>
        <w:tc>
          <w:tcPr>
            <w:tcW w:w="1028" w:type="dxa"/>
            <w:noWrap w:val="0"/>
            <w:vAlign w:val="top"/>
          </w:tcPr>
          <w:p w14:paraId="4F5CA6F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 xml:space="preserve">5 年（验收演示）</w:t>
            </w:r>
          </w:p>
        </w:tc>
        <w:tc>
          <w:tcPr>
            <w:tcW w:w="1020" w:type="dxa"/>
            <w:noWrap w:val="0"/>
            <w:vAlign w:val="top"/>
          </w:tcPr>
          <w:p w14:paraId="41067E11">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t xml:space="preserve">0571-00000003（验收演示）</w:t>
            </w:r>
          </w:p>
        </w:tc>
        <w:tc>
          <w:tcPr>
            <w:tcW w:w="1020" w:type="dxa"/>
            <w:noWrap w:val="0"/>
            <w:vAlign w:val="top"/>
          </w:tcPr>
          <w:p w14:paraId="69AE9A94">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52-53</w:t>
            </w:r>
          </w:p>
        </w:tc>
      </w:tr>
      <w:tr w14:paraId="3CEEB6D7">
        <w:trPr>
          <w:jc w:val="center"/>
        </w:trPr>
        <w:tc>
          <w:tcPr>
            <w:tcW w:w="1336" w:type="dxa"/>
            <w:noWrap w:val="0"/>
            <w:vAlign w:val="top"/>
          </w:tcPr>
          <w:p w14:paraId="7C08B43D">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w:t>
            </w:r>
          </w:p>
        </w:tc>
        <w:tc>
          <w:tcPr>
            <w:tcW w:w="1336" w:type="dxa"/>
            <w:noWrap w:val="0"/>
            <w:vAlign w:val="top"/>
          </w:tcPr>
          <w:p w14:paraId="5197D973">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例子：李四</w:t>
            </w:r>
          </w:p>
        </w:tc>
        <w:tc>
          <w:tcPr>
            <w:tcW w:w="719" w:type="dxa"/>
            <w:noWrap w:val="0"/>
            <w:vAlign w:val="top"/>
          </w:tcPr>
          <w:p w14:paraId="09504C61">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32</w:t>
            </w:r>
          </w:p>
        </w:tc>
        <w:tc>
          <w:tcPr>
            <w:tcW w:w="688" w:type="dxa"/>
            <w:noWrap w:val="0"/>
            <w:vAlign w:val="top"/>
          </w:tcPr>
          <w:p w14:paraId="4C94D10A">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男</w:t>
            </w:r>
          </w:p>
        </w:tc>
        <w:tc>
          <w:tcPr>
            <w:tcW w:w="1368" w:type="dxa"/>
            <w:noWrap w:val="0"/>
            <w:vAlign w:val="top"/>
          </w:tcPr>
          <w:p w14:paraId="5A3BF1F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eastAsia="zh-CN"/>
              </w:rPr>
              <w:t>数据技术</w:t>
            </w:r>
          </w:p>
        </w:tc>
        <w:tc>
          <w:tcPr>
            <w:tcW w:w="1027" w:type="dxa"/>
            <w:noWrap w:val="0"/>
            <w:vAlign w:val="top"/>
          </w:tcPr>
          <w:p w14:paraId="69AD61E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本科</w:t>
            </w:r>
          </w:p>
        </w:tc>
        <w:tc>
          <w:tcPr>
            <w:tcW w:w="1028" w:type="dxa"/>
            <w:noWrap w:val="0"/>
            <w:vAlign w:val="top"/>
          </w:tcPr>
          <w:p w14:paraId="78AAE54D">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7</w:t>
            </w:r>
          </w:p>
        </w:tc>
        <w:tc>
          <w:tcPr>
            <w:tcW w:w="1020" w:type="dxa"/>
            <w:noWrap w:val="0"/>
            <w:vAlign w:val="top"/>
          </w:tcPr>
          <w:p w14:paraId="7D6CA7E0">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1020" w:type="dxa"/>
            <w:noWrap w:val="0"/>
            <w:vAlign w:val="top"/>
          </w:tcPr>
          <w:p w14:paraId="571B615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53-54</w:t>
            </w:r>
          </w:p>
        </w:tc>
      </w:tr>
      <w:tr w14:paraId="13556E04">
        <w:trPr>
          <w:jc w:val="center"/>
        </w:trPr>
        <w:tc>
          <w:tcPr>
            <w:tcW w:w="1336" w:type="dxa"/>
            <w:noWrap w:val="0"/>
            <w:vAlign w:val="top"/>
          </w:tcPr>
          <w:p w14:paraId="7A15242E">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4</w:t>
            </w:r>
          </w:p>
        </w:tc>
        <w:tc>
          <w:tcPr>
            <w:tcW w:w="1336" w:type="dxa"/>
            <w:noWrap w:val="0"/>
            <w:vAlign w:val="top"/>
          </w:tcPr>
          <w:p w14:paraId="3BA63DE4">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p>
        </w:tc>
        <w:tc>
          <w:tcPr>
            <w:tcW w:w="719" w:type="dxa"/>
            <w:noWrap w:val="0"/>
            <w:vAlign w:val="top"/>
          </w:tcPr>
          <w:p w14:paraId="62AC6796">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688" w:type="dxa"/>
            <w:noWrap w:val="0"/>
            <w:vAlign w:val="top"/>
          </w:tcPr>
          <w:p w14:paraId="35CA729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p>
        </w:tc>
        <w:tc>
          <w:tcPr>
            <w:tcW w:w="1368" w:type="dxa"/>
            <w:noWrap w:val="0"/>
            <w:vAlign w:val="top"/>
          </w:tcPr>
          <w:p w14:paraId="59DABF75">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p>
        </w:tc>
        <w:tc>
          <w:tcPr>
            <w:tcW w:w="1027" w:type="dxa"/>
            <w:noWrap w:val="0"/>
            <w:vAlign w:val="top"/>
          </w:tcPr>
          <w:p w14:paraId="25BC9D1A">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p>
        </w:tc>
        <w:tc>
          <w:tcPr>
            <w:tcW w:w="1028" w:type="dxa"/>
            <w:noWrap w:val="0"/>
            <w:vAlign w:val="top"/>
          </w:tcPr>
          <w:p w14:paraId="45B6B49E">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1020" w:type="dxa"/>
            <w:noWrap w:val="0"/>
            <w:vAlign w:val="top"/>
          </w:tcPr>
          <w:p w14:paraId="513DF1C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c>
          <w:tcPr>
            <w:tcW w:w="1020" w:type="dxa"/>
            <w:noWrap w:val="0"/>
            <w:vAlign w:val="top"/>
          </w:tcPr>
          <w:p w14:paraId="173A7A13">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p>
        </w:tc>
      </w:tr>
    </w:tbl>
    <w:p w14:paraId="7483E3A6">
      <w:pPr>
        <w:pageBreakBefore w:val="0"/>
        <w:widowControl/>
        <w:kinsoku/>
        <w:wordWrap/>
        <w:overflowPunct/>
        <w:topLinePunct w:val="0"/>
        <w:bidi w:val="0"/>
        <w:spacing w:beforeAutospacing="0" w:line="360" w:lineRule="auto"/>
        <w:ind w:left="0" w:leftChars="0" w:firstLine="5320" w:firstLineChars="1900"/>
        <w:jc w:val="left"/>
        <w:rPr>
          <w:rFonts w:hint="eastAsia" w:ascii="仿宋" w:hAnsi="仿宋" w:eastAsia="仿宋" w:cs="仿宋"/>
          <w:smallCaps w:val="0"/>
          <w:kern w:val="0"/>
          <w:sz w:val="28"/>
          <w:szCs w:val="28"/>
          <w:highlight w:val="none"/>
        </w:rPr>
      </w:pPr>
    </w:p>
    <w:p w14:paraId="2269C1C2">
      <w:pPr>
        <w:pageBreakBefore w:val="0"/>
        <w:widowControl/>
        <w:kinsoku/>
        <w:wordWrap/>
        <w:overflowPunct/>
        <w:topLinePunct w:val="0"/>
        <w:bidi w:val="0"/>
        <w:spacing w:beforeAutospacing="0" w:line="360" w:lineRule="auto"/>
        <w:ind w:left="0" w:leftChars="0" w:firstLine="4340" w:firstLineChars="15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 xml:space="preserve">投标供应商名称（公章）：杭州研数科技有限公司（验收演示）</w:t>
      </w:r>
      <w:r>
        <w:rPr>
          <w:rFonts w:hint="eastAsia" w:ascii="仿宋" w:hAnsi="仿宋" w:eastAsia="仿宋" w:cs="仿宋"/>
          <w:smallCaps w:val="0"/>
          <w:kern w:val="0"/>
          <w:sz w:val="28"/>
          <w:szCs w:val="28"/>
          <w:highlight w:val="none"/>
        </w:rPr>
        <w:t xml:space="preserve">                   </w:t>
      </w:r>
    </w:p>
    <w:p w14:paraId="0A8BDF9E">
      <w:pPr>
        <w:pageBreakBefore w:val="0"/>
        <w:widowControl/>
        <w:kinsoku/>
        <w:wordWrap/>
        <w:overflowPunct/>
        <w:topLinePunct w:val="0"/>
        <w:bidi w:val="0"/>
        <w:spacing w:beforeAutospacing="0" w:line="360" w:lineRule="auto"/>
        <w:ind w:left="0" w:leftChars="0" w:firstLine="3500" w:firstLineChars="12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法定代表人（经营者）（签字或盖章）：陈演示（验收演示）</w:t>
      </w:r>
      <w:r>
        <w:rPr>
          <w:rFonts w:hint="eastAsia" w:ascii="仿宋" w:hAnsi="仿宋" w:eastAsia="仿宋" w:cs="仿宋"/>
          <w:smallCaps w:val="0"/>
          <w:kern w:val="0"/>
          <w:sz w:val="28"/>
          <w:szCs w:val="28"/>
          <w:highlight w:val="none"/>
        </w:rPr>
        <w:t xml:space="preserve">        </w:t>
      </w:r>
    </w:p>
    <w:p w14:paraId="30C5D1CD">
      <w:pPr>
        <w:pageBreakBefore w:val="0"/>
        <w:widowControl/>
        <w:kinsoku/>
        <w:wordWrap/>
        <w:overflowPunct/>
        <w:topLinePunct w:val="0"/>
        <w:bidi w:val="0"/>
        <w:spacing w:beforeAutospacing="0" w:line="360" w:lineRule="auto"/>
        <w:ind w:left="0" w:leftChars="0" w:firstLine="5600" w:firstLineChars="200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2026 年 8 月 19 日</w:t>
      </w:r>
    </w:p>
    <w:p w14:paraId="68078BEE">
      <w:pPr>
        <w:pageBreakBefore w:val="0"/>
        <w:widowControl/>
        <w:kinsoku/>
        <w:wordWrap/>
        <w:overflowPunct/>
        <w:topLinePunct w:val="0"/>
        <w:bidi w:val="0"/>
        <w:spacing w:beforeAutospacing="0" w:line="360" w:lineRule="auto"/>
        <w:ind w:left="0" w:leftChars="0" w:firstLine="5320" w:firstLineChars="1900"/>
        <w:jc w:val="left"/>
        <w:rPr>
          <w:rFonts w:hint="eastAsia" w:ascii="仿宋" w:hAnsi="仿宋" w:eastAsia="仿宋" w:cs="仿宋"/>
          <w:smallCaps w:val="0"/>
          <w:kern w:val="0"/>
          <w:sz w:val="28"/>
          <w:szCs w:val="28"/>
          <w:highlight w:val="none"/>
        </w:rPr>
      </w:pP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7"/>
        <w:gridCol w:w="1397"/>
        <w:gridCol w:w="1431"/>
        <w:gridCol w:w="1076"/>
        <w:gridCol w:w="1076"/>
        <w:gridCol w:w="1067"/>
      </w:tblGrid>
      <w:tr w14:paraId="3085AFD7">
        <w:trPr>
          <w:jc w:val="center"/>
        </w:trPr>
        <w:tc>
          <w:tcPr>
            <w:tcW w:w="1397" w:type="dxa"/>
            <w:noWrap w:val="0"/>
            <w:vAlign w:val="top"/>
          </w:tcPr>
          <w:p w14:paraId="00F6FDF4">
            <w:pPr>
              <w:pageBreakBefore w:val="0"/>
              <w:kinsoku/>
              <w:wordWrap/>
              <w:overflowPunct/>
              <w:topLinePunct w:val="0"/>
              <w:bidi w:val="0"/>
              <w:spacing w:beforeAutospacing="0" w:line="560" w:lineRule="exact"/>
              <w:jc w:val="center"/>
              <w:rPr>
                <w:rFonts w:hint="eastAsia" w:ascii="仿宋" w:hAnsi="仿宋" w:eastAsia="仿宋" w:cs="仿宋"/>
                <w:b/>
                <w:bCs/>
                <w:strike w:val="0"/>
                <w:dstrike w:val="0"/>
                <w:sz w:val="28"/>
                <w:szCs w:val="28"/>
                <w:highlight w:val="none"/>
                <w:lang w:eastAsia="zh-CN"/>
              </w:rPr>
            </w:pPr>
            <w:r>
              <w:rPr>
                <w:rFonts w:hint="eastAsia" w:ascii="仿宋" w:hAnsi="仿宋" w:eastAsia="仿宋" w:cs="仿宋"/>
                <w:b/>
                <w:bCs/>
                <w:strike w:val="0"/>
                <w:dstrike w:val="0"/>
                <w:sz w:val="28"/>
                <w:szCs w:val="28"/>
                <w:highlight w:val="none"/>
                <w:lang w:eastAsia="zh-CN"/>
              </w:rPr>
              <w:t>序号</w:t>
            </w:r>
          </w:p>
        </w:tc>
        <w:tc>
          <w:tcPr>
            <w:tcW w:w="1397" w:type="dxa"/>
            <w:noWrap w:val="0"/>
            <w:vAlign w:val="top"/>
          </w:tcPr>
          <w:p w14:paraId="14106595">
            <w:pPr>
              <w:pageBreakBefore w:val="0"/>
              <w:kinsoku/>
              <w:wordWrap/>
              <w:overflowPunct/>
              <w:topLinePunct w:val="0"/>
              <w:bidi w:val="0"/>
              <w:spacing w:beforeAutospacing="0" w:line="560" w:lineRule="exact"/>
              <w:jc w:val="center"/>
              <w:rPr>
                <w:rFonts w:hint="eastAsia" w:ascii="仿宋" w:hAnsi="仿宋" w:eastAsia="仿宋" w:cs="仿宋"/>
                <w:b/>
                <w:bCs/>
                <w:strike w:val="0"/>
                <w:dstrike w:val="0"/>
                <w:sz w:val="28"/>
                <w:szCs w:val="28"/>
                <w:highlight w:val="none"/>
                <w:vertAlign w:val="baseline"/>
              </w:rPr>
            </w:pPr>
            <w:r>
              <w:rPr>
                <w:rFonts w:hint="eastAsia" w:ascii="仿宋" w:hAnsi="仿宋" w:eastAsia="仿宋" w:cs="仿宋"/>
                <w:b/>
                <w:bCs/>
                <w:strike w:val="0"/>
                <w:dstrike w:val="0"/>
                <w:sz w:val="28"/>
                <w:szCs w:val="28"/>
                <w:highlight w:val="none"/>
                <w:lang w:eastAsia="zh-CN"/>
              </w:rPr>
              <w:t>姓名</w:t>
            </w:r>
          </w:p>
        </w:tc>
        <w:tc>
          <w:tcPr>
            <w:tcW w:w="1431" w:type="dxa"/>
            <w:noWrap w:val="0"/>
            <w:vAlign w:val="top"/>
          </w:tcPr>
          <w:p w14:paraId="2A9262E4">
            <w:pPr>
              <w:pageBreakBefore w:val="0"/>
              <w:kinsoku/>
              <w:wordWrap/>
              <w:overflowPunct/>
              <w:topLinePunct w:val="0"/>
              <w:bidi w:val="0"/>
              <w:spacing w:beforeAutospacing="0" w:line="560" w:lineRule="exact"/>
              <w:jc w:val="center"/>
              <w:rPr>
                <w:rFonts w:hint="eastAsia" w:ascii="仿宋" w:hAnsi="仿宋" w:eastAsia="仿宋" w:cs="仿宋"/>
                <w:b/>
                <w:bCs/>
                <w:strike w:val="0"/>
                <w:dstrike w:val="0"/>
                <w:sz w:val="28"/>
                <w:szCs w:val="28"/>
                <w:highlight w:val="none"/>
                <w:vertAlign w:val="baseline"/>
              </w:rPr>
            </w:pPr>
            <w:r>
              <w:rPr>
                <w:rFonts w:hint="eastAsia" w:ascii="仿宋" w:hAnsi="仿宋" w:eastAsia="仿宋" w:cs="仿宋"/>
                <w:b/>
                <w:bCs/>
                <w:strike w:val="0"/>
                <w:dstrike w:val="0"/>
                <w:sz w:val="28"/>
                <w:szCs w:val="28"/>
                <w:highlight w:val="none"/>
                <w:lang w:eastAsia="zh-CN"/>
              </w:rPr>
              <w:t>岗位</w:t>
            </w:r>
          </w:p>
        </w:tc>
        <w:tc>
          <w:tcPr>
            <w:tcW w:w="1076" w:type="dxa"/>
            <w:noWrap w:val="0"/>
            <w:vAlign w:val="top"/>
          </w:tcPr>
          <w:p w14:paraId="048FE82F">
            <w:pPr>
              <w:pageBreakBefore w:val="0"/>
              <w:kinsoku/>
              <w:wordWrap/>
              <w:overflowPunct/>
              <w:topLinePunct w:val="0"/>
              <w:bidi w:val="0"/>
              <w:spacing w:beforeAutospacing="0" w:line="560" w:lineRule="exact"/>
              <w:jc w:val="center"/>
              <w:rPr>
                <w:rFonts w:hint="eastAsia" w:ascii="仿宋" w:hAnsi="仿宋" w:eastAsia="仿宋" w:cs="仿宋"/>
                <w:b/>
                <w:bCs/>
                <w:strike w:val="0"/>
                <w:dstrike w:val="0"/>
                <w:sz w:val="28"/>
                <w:szCs w:val="28"/>
                <w:highlight w:val="none"/>
                <w:vertAlign w:val="baseline"/>
                <w:lang w:eastAsia="zh-CN"/>
              </w:rPr>
            </w:pPr>
            <w:r>
              <w:rPr>
                <w:rFonts w:hint="eastAsia" w:ascii="仿宋" w:hAnsi="仿宋" w:eastAsia="仿宋" w:cs="仿宋"/>
                <w:b/>
                <w:bCs/>
                <w:strike w:val="0"/>
                <w:dstrike w:val="0"/>
                <w:sz w:val="28"/>
                <w:szCs w:val="28"/>
                <w:highlight w:val="none"/>
                <w:vertAlign w:val="baseline"/>
                <w:lang w:eastAsia="zh-CN"/>
              </w:rPr>
              <w:t>学历</w:t>
            </w:r>
          </w:p>
        </w:tc>
        <w:tc>
          <w:tcPr>
            <w:tcW w:w="1076" w:type="dxa"/>
            <w:noWrap w:val="0"/>
            <w:vAlign w:val="top"/>
          </w:tcPr>
          <w:p w14:paraId="2830805E">
            <w:pPr>
              <w:pageBreakBefore w:val="0"/>
              <w:kinsoku/>
              <w:wordWrap/>
              <w:overflowPunct/>
              <w:topLinePunct w:val="0"/>
              <w:bidi w:val="0"/>
              <w:spacing w:beforeAutospacing="0" w:line="560" w:lineRule="exact"/>
              <w:jc w:val="center"/>
              <w:rPr>
                <w:rFonts w:hint="eastAsia" w:ascii="仿宋" w:hAnsi="仿宋" w:eastAsia="仿宋" w:cs="仿宋"/>
                <w:b/>
                <w:bCs/>
                <w:strike w:val="0"/>
                <w:dstrike w:val="0"/>
                <w:sz w:val="28"/>
                <w:szCs w:val="28"/>
                <w:highlight w:val="none"/>
                <w:vertAlign w:val="baseline"/>
                <w:lang w:eastAsia="zh-CN"/>
              </w:rPr>
            </w:pPr>
            <w:r>
              <w:rPr>
                <w:rFonts w:hint="eastAsia" w:ascii="仿宋" w:hAnsi="仿宋" w:eastAsia="仿宋" w:cs="仿宋"/>
                <w:b/>
                <w:bCs/>
                <w:strike w:val="0"/>
                <w:dstrike w:val="0"/>
                <w:sz w:val="28"/>
                <w:szCs w:val="28"/>
                <w:highlight w:val="none"/>
                <w:vertAlign w:val="baseline"/>
                <w:lang w:eastAsia="zh-CN"/>
              </w:rPr>
              <w:t>工作年限</w:t>
            </w:r>
          </w:p>
        </w:tc>
        <w:tc>
          <w:tcPr>
            <w:tcW w:w="1067" w:type="dxa"/>
            <w:noWrap w:val="0"/>
            <w:vAlign w:val="top"/>
          </w:tcPr>
          <w:p w14:paraId="169ACC5D">
            <w:pPr>
              <w:pageBreakBefore w:val="0"/>
              <w:kinsoku/>
              <w:wordWrap/>
              <w:overflowPunct/>
              <w:topLinePunct w:val="0"/>
              <w:bidi w:val="0"/>
              <w:spacing w:beforeAutospacing="0" w:line="560" w:lineRule="exact"/>
              <w:jc w:val="center"/>
              <w:rPr>
                <w:rFonts w:hint="eastAsia" w:ascii="仿宋" w:hAnsi="仿宋" w:eastAsia="仿宋" w:cs="仿宋"/>
                <w:b/>
                <w:bCs/>
                <w:strike w:val="0"/>
                <w:dstrike w:val="0"/>
                <w:sz w:val="28"/>
                <w:szCs w:val="28"/>
                <w:highlight w:val="none"/>
                <w:vertAlign w:val="baseline"/>
                <w:lang w:eastAsia="zh-CN"/>
              </w:rPr>
            </w:pPr>
            <w:r>
              <w:rPr>
                <w:rFonts w:hint="eastAsia" w:ascii="仿宋" w:hAnsi="仿宋" w:eastAsia="仿宋" w:cs="仿宋"/>
                <w:b/>
                <w:bCs/>
                <w:strike w:val="0"/>
                <w:dstrike w:val="0"/>
                <w:sz w:val="28"/>
                <w:szCs w:val="28"/>
                <w:highlight w:val="none"/>
                <w:vertAlign w:val="baseline"/>
                <w:lang w:eastAsia="zh-CN"/>
              </w:rPr>
              <w:t>材料所在页码</w:t>
            </w:r>
          </w:p>
        </w:tc>
      </w:tr>
      <w:tr w14:paraId="0EE8EEB9">
        <w:trPr>
          <w:jc w:val="center"/>
        </w:trPr>
        <w:tc>
          <w:tcPr>
            <w:tcW w:w="1397" w:type="dxa"/>
            <w:noWrap w:val="0"/>
            <w:vAlign w:val="top"/>
          </w:tcPr>
          <w:p w14:paraId="53145833">
            <w:pPr>
              <w:pageBreakBefore w:val="0"/>
              <w:kinsoku/>
              <w:wordWrap/>
              <w:overflowPunct/>
              <w:topLinePunct w:val="0"/>
              <w:bidi w:val="0"/>
              <w:spacing w:beforeAutospacing="0" w:line="560" w:lineRule="exact"/>
              <w:jc w:val="center"/>
              <w:rPr>
                <w:rFonts w:hint="eastAsia" w:ascii="仿宋" w:hAnsi="仿宋" w:eastAsia="仿宋" w:cs="仿宋"/>
                <w:strike w:val="0"/>
                <w:dstrike w:val="0"/>
                <w:sz w:val="28"/>
                <w:szCs w:val="28"/>
                <w:highlight w:val="none"/>
                <w:lang w:val="en-US" w:eastAsia="zh-CN"/>
              </w:rPr>
            </w:pPr>
            <w:r>
              <w:rPr>
                <w:rFonts w:hint="eastAsia" w:ascii="仿宋" w:hAnsi="仿宋" w:eastAsia="仿宋" w:cs="仿宋"/>
                <w:strike w:val="0"/>
                <w:dstrike w:val="0"/>
                <w:sz w:val="28"/>
                <w:szCs w:val="28"/>
                <w:highlight w:val="none"/>
                <w:lang w:val="en-US" w:eastAsia="zh-CN"/>
              </w:rPr>
              <w:t>1</w:t>
            </w:r>
          </w:p>
        </w:tc>
        <w:tc>
          <w:tcPr>
            <w:tcW w:w="1397" w:type="dxa"/>
            <w:noWrap w:val="0"/>
            <w:vAlign w:val="top"/>
          </w:tcPr>
          <w:p w14:paraId="327390AD">
            <w:pPr>
              <w:pageBreakBefore w:val="0"/>
              <w:kinsoku/>
              <w:wordWrap/>
              <w:overflowPunct/>
              <w:topLinePunct w:val="0"/>
              <w:bidi w:val="0"/>
              <w:spacing w:beforeAutospacing="0" w:line="560" w:lineRule="exact"/>
              <w:jc w:val="left"/>
              <w:rPr>
                <w:rFonts w:hint="eastAsia" w:ascii="仿宋" w:hAnsi="仿宋" w:eastAsia="仿宋" w:cs="仿宋"/>
                <w:strike w:val="0"/>
                <w:dstrike w:val="0"/>
                <w:sz w:val="28"/>
                <w:szCs w:val="28"/>
                <w:highlight w:val="none"/>
                <w:lang w:eastAsia="zh-CN"/>
              </w:rPr>
            </w:pPr>
            <w:r>
              <w:rPr>
                <w:rFonts w:hint="eastAsia" w:ascii="仿宋" w:hAnsi="仿宋" w:eastAsia="仿宋" w:cs="仿宋"/>
                <w:strike w:val="0"/>
                <w:dstrike w:val="0"/>
                <w:sz w:val="28"/>
                <w:szCs w:val="28"/>
                <w:highlight w:val="none"/>
                <w:lang w:eastAsia="zh-CN"/>
              </w:rPr>
              <w:t xml:space="preserve">王演示A（验收演示）</w:t>
            </w:r>
          </w:p>
        </w:tc>
        <w:tc>
          <w:tcPr>
            <w:tcW w:w="1431" w:type="dxa"/>
            <w:noWrap w:val="0"/>
            <w:vAlign w:val="top"/>
          </w:tcPr>
          <w:p w14:paraId="002D4D7C">
            <w:pPr>
              <w:pageBreakBefore w:val="0"/>
              <w:kinsoku/>
              <w:wordWrap/>
              <w:overflowPunct/>
              <w:topLinePunct w:val="0"/>
              <w:bidi w:val="0"/>
              <w:spacing w:beforeAutospacing="0" w:line="560" w:lineRule="exact"/>
              <w:jc w:val="left"/>
              <w:rPr>
                <w:rFonts w:hint="eastAsia" w:ascii="仿宋" w:hAnsi="仿宋" w:eastAsia="仿宋" w:cs="仿宋"/>
                <w:strike w:val="0"/>
                <w:dstrike w:val="0"/>
                <w:sz w:val="28"/>
                <w:szCs w:val="28"/>
                <w:highlight w:val="none"/>
                <w:lang w:val="en-US" w:eastAsia="zh-CN"/>
              </w:rPr>
            </w:pPr>
            <w:r>
              <w:rPr>
                <w:rFonts w:hint="eastAsia" w:ascii="仿宋" w:hAnsi="仿宋" w:eastAsia="仿宋" w:cs="仿宋"/>
                <w:strike w:val="0"/>
                <w:dstrike w:val="0"/>
                <w:sz w:val="28"/>
                <w:szCs w:val="28"/>
                <w:highlight w:val="none"/>
                <w:lang w:eastAsia="zh-CN"/>
              </w:rPr>
              <w:t>客户经理</w:t>
            </w:r>
          </w:p>
        </w:tc>
        <w:tc>
          <w:tcPr>
            <w:tcW w:w="1076" w:type="dxa"/>
            <w:noWrap w:val="0"/>
            <w:vAlign w:val="top"/>
          </w:tcPr>
          <w:p w14:paraId="4E337A82">
            <w:pPr>
              <w:pageBreakBefore w:val="0"/>
              <w:kinsoku/>
              <w:wordWrap/>
              <w:overflowPunct/>
              <w:topLinePunct w:val="0"/>
              <w:bidi w:val="0"/>
              <w:spacing w:beforeAutospacing="0" w:line="560" w:lineRule="exact"/>
              <w:jc w:val="left"/>
              <w:rPr>
                <w:rFonts w:hint="eastAsia" w:ascii="仿宋" w:hAnsi="仿宋" w:eastAsia="仿宋" w:cs="仿宋"/>
                <w:strike w:val="0"/>
                <w:dstrike w:val="0"/>
                <w:sz w:val="28"/>
                <w:szCs w:val="28"/>
                <w:highlight w:val="none"/>
                <w:vertAlign w:val="baseline"/>
                <w:lang w:eastAsia="zh-CN"/>
              </w:rPr>
            </w:pPr>
            <w:r>
              <w:rPr>
                <w:rFonts w:hint="eastAsia" w:ascii="仿宋" w:hAnsi="仿宋" w:eastAsia="仿宋" w:cs="仿宋"/>
                <w:strike w:val="0"/>
                <w:dstrike w:val="0"/>
                <w:sz w:val="28"/>
                <w:szCs w:val="28"/>
                <w:highlight w:val="none"/>
                <w:vertAlign w:val="baseline"/>
                <w:lang w:eastAsia="zh-CN"/>
              </w:rPr>
              <w:t xml:space="preserve">本科（验收演示）</w:t>
            </w:r>
          </w:p>
        </w:tc>
        <w:tc>
          <w:tcPr>
            <w:tcW w:w="1076" w:type="dxa"/>
            <w:noWrap w:val="0"/>
            <w:vAlign w:val="top"/>
          </w:tcPr>
          <w:p w14:paraId="2E4C9535">
            <w:pPr>
              <w:pageBreakBefore w:val="0"/>
              <w:kinsoku/>
              <w:wordWrap/>
              <w:overflowPunct/>
              <w:topLinePunct w:val="0"/>
              <w:bidi w:val="0"/>
              <w:spacing w:beforeAutospacing="0" w:line="560" w:lineRule="exact"/>
              <w:jc w:val="left"/>
              <w:rPr>
                <w:rFonts w:hint="eastAsia" w:ascii="仿宋" w:hAnsi="仿宋" w:eastAsia="仿宋" w:cs="仿宋"/>
                <w:strike w:val="0"/>
                <w:dstrike w:val="0"/>
                <w:sz w:val="28"/>
                <w:szCs w:val="28"/>
                <w:highlight w:val="none"/>
                <w:vertAlign w:val="baseline"/>
                <w:lang w:val="en-US" w:eastAsia="zh-CN"/>
              </w:rPr>
            </w:pPr>
            <w:r>
              <w:rPr>
                <w:rFonts w:hint="eastAsia" w:ascii="仿宋" w:hAnsi="仿宋" w:eastAsia="仿宋" w:cs="仿宋"/>
                <w:strike w:val="0"/>
                <w:dstrike w:val="0"/>
                <w:sz w:val="28"/>
                <w:szCs w:val="28"/>
                <w:highlight w:val="none"/>
                <w:vertAlign w:val="baseline"/>
                <w:lang w:val="en-US" w:eastAsia="zh-CN"/>
              </w:rPr>
              <w:t xml:space="preserve">3 年（验收演示）</w:t>
            </w:r>
          </w:p>
        </w:tc>
        <w:tc>
          <w:tcPr>
            <w:tcW w:w="1067" w:type="dxa"/>
            <w:noWrap w:val="0"/>
            <w:vAlign w:val="top"/>
          </w:tcPr>
          <w:p w14:paraId="276B7272">
            <w:pPr>
              <w:pageBreakBefore w:val="0"/>
              <w:kinsoku/>
              <w:wordWrap/>
              <w:overflowPunct/>
              <w:topLinePunct w:val="0"/>
              <w:bidi w:val="0"/>
              <w:spacing w:beforeAutospacing="0" w:line="560" w:lineRule="exact"/>
              <w:jc w:val="left"/>
              <w:rPr>
                <w:rFonts w:hint="eastAsia" w:ascii="仿宋" w:hAnsi="仿宋" w:eastAsia="仿宋" w:cs="仿宋"/>
                <w:strike w:val="0"/>
                <w:dstrike w:val="0"/>
                <w:sz w:val="28"/>
                <w:szCs w:val="28"/>
                <w:highlight w:val="none"/>
                <w:vertAlign w:val="baseline"/>
                <w:lang w:val="en-US" w:eastAsia="zh-CN"/>
              </w:rPr>
            </w:pPr>
            <w:r>
              <w:rPr>
                <w:rFonts w:hint="eastAsia" w:ascii="仿宋" w:hAnsi="仿宋" w:eastAsia="仿宋" w:cs="仿宋"/>
                <w:strike w:val="0"/>
                <w:dstrike w:val="0"/>
                <w:sz w:val="28"/>
                <w:szCs w:val="28"/>
                <w:highlight w:val="none"/>
                <w:vertAlign w:val="baseline"/>
                <w:lang w:val="en-US" w:eastAsia="zh-CN"/>
              </w:rPr>
              <w:t>50-51</w:t>
            </w:r>
          </w:p>
        </w:tc>
      </w:tr>
    </w:tbl>
    <w:p w14:paraId="6FC3F71B">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毕业证书复印件：</w:t>
      </w:r>
    </w:p>
    <w:p w14:paraId="3C9D69B5">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学位证书复印件：</w:t>
      </w:r>
    </w:p>
    <w:p w14:paraId="289D37C0">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政府相关单位开具的社保缴纳证明：</w:t>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7"/>
        <w:gridCol w:w="1397"/>
        <w:gridCol w:w="1431"/>
        <w:gridCol w:w="1076"/>
        <w:gridCol w:w="1076"/>
        <w:gridCol w:w="1067"/>
      </w:tblGrid>
      <w:tr w14:paraId="6DB76DE5">
        <w:trPr>
          <w:jc w:val="center"/>
        </w:trPr>
        <w:tc>
          <w:tcPr>
            <w:tcW w:w="1397" w:type="dxa"/>
            <w:noWrap w:val="0"/>
            <w:vAlign w:val="top"/>
          </w:tcPr>
          <w:p w14:paraId="01757AD9">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lang w:eastAsia="zh-CN"/>
              </w:rPr>
            </w:pPr>
            <w:r>
              <w:rPr>
                <w:rFonts w:hint="eastAsia" w:ascii="仿宋" w:hAnsi="仿宋" w:eastAsia="仿宋" w:cs="仿宋"/>
                <w:b/>
                <w:bCs/>
                <w:sz w:val="28"/>
                <w:szCs w:val="28"/>
                <w:highlight w:val="none"/>
                <w:lang w:eastAsia="zh-CN"/>
              </w:rPr>
              <w:t>序号</w:t>
            </w:r>
          </w:p>
        </w:tc>
        <w:tc>
          <w:tcPr>
            <w:tcW w:w="1397" w:type="dxa"/>
            <w:noWrap w:val="0"/>
            <w:vAlign w:val="top"/>
          </w:tcPr>
          <w:p w14:paraId="15321DF9">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rPr>
            </w:pPr>
            <w:r>
              <w:rPr>
                <w:rFonts w:hint="eastAsia" w:ascii="仿宋" w:hAnsi="仿宋" w:eastAsia="仿宋" w:cs="仿宋"/>
                <w:b/>
                <w:bCs/>
                <w:sz w:val="28"/>
                <w:szCs w:val="28"/>
                <w:highlight w:val="none"/>
                <w:lang w:eastAsia="zh-CN"/>
              </w:rPr>
              <w:t>姓名</w:t>
            </w:r>
          </w:p>
        </w:tc>
        <w:tc>
          <w:tcPr>
            <w:tcW w:w="1431" w:type="dxa"/>
            <w:noWrap w:val="0"/>
            <w:vAlign w:val="top"/>
          </w:tcPr>
          <w:p w14:paraId="5D121AC0">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rPr>
            </w:pPr>
            <w:r>
              <w:rPr>
                <w:rFonts w:hint="eastAsia" w:ascii="仿宋" w:hAnsi="仿宋" w:eastAsia="仿宋" w:cs="仿宋"/>
                <w:b/>
                <w:bCs/>
                <w:sz w:val="28"/>
                <w:szCs w:val="28"/>
                <w:highlight w:val="none"/>
                <w:lang w:eastAsia="zh-CN"/>
              </w:rPr>
              <w:t>岗位</w:t>
            </w:r>
          </w:p>
        </w:tc>
        <w:tc>
          <w:tcPr>
            <w:tcW w:w="1076" w:type="dxa"/>
            <w:noWrap w:val="0"/>
            <w:vAlign w:val="top"/>
          </w:tcPr>
          <w:p w14:paraId="777B844C">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学历</w:t>
            </w:r>
          </w:p>
        </w:tc>
        <w:tc>
          <w:tcPr>
            <w:tcW w:w="1076" w:type="dxa"/>
            <w:noWrap w:val="0"/>
            <w:vAlign w:val="top"/>
          </w:tcPr>
          <w:p w14:paraId="46CD2E20">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工作年限</w:t>
            </w:r>
          </w:p>
        </w:tc>
        <w:tc>
          <w:tcPr>
            <w:tcW w:w="1067" w:type="dxa"/>
            <w:noWrap w:val="0"/>
            <w:vAlign w:val="top"/>
          </w:tcPr>
          <w:p w14:paraId="13339192">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材料所在页码</w:t>
            </w:r>
          </w:p>
        </w:tc>
      </w:tr>
      <w:tr w14:paraId="138230FB">
        <w:trPr>
          <w:jc w:val="center"/>
        </w:trPr>
        <w:tc>
          <w:tcPr>
            <w:tcW w:w="1397" w:type="dxa"/>
            <w:noWrap w:val="0"/>
            <w:vAlign w:val="top"/>
          </w:tcPr>
          <w:p w14:paraId="2D310B08">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2</w:t>
            </w:r>
          </w:p>
        </w:tc>
        <w:tc>
          <w:tcPr>
            <w:tcW w:w="1397" w:type="dxa"/>
            <w:noWrap w:val="0"/>
            <w:vAlign w:val="top"/>
          </w:tcPr>
          <w:p w14:paraId="64166A5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 xml:space="preserve">李演示B（验收演示）</w:t>
            </w:r>
          </w:p>
        </w:tc>
        <w:tc>
          <w:tcPr>
            <w:tcW w:w="1431" w:type="dxa"/>
            <w:noWrap w:val="0"/>
            <w:vAlign w:val="top"/>
          </w:tcPr>
          <w:p w14:paraId="6608D51C">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eastAsia="zh-CN"/>
              </w:rPr>
              <w:t>数据技术</w:t>
            </w:r>
          </w:p>
        </w:tc>
        <w:tc>
          <w:tcPr>
            <w:tcW w:w="1076" w:type="dxa"/>
            <w:noWrap w:val="0"/>
            <w:vAlign w:val="top"/>
          </w:tcPr>
          <w:p w14:paraId="0129EDB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 xml:space="preserve">本科（验收演示）</w:t>
            </w:r>
          </w:p>
        </w:tc>
        <w:tc>
          <w:tcPr>
            <w:tcW w:w="1076" w:type="dxa"/>
            <w:noWrap w:val="0"/>
            <w:vAlign w:val="top"/>
          </w:tcPr>
          <w:p w14:paraId="2A603614">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 xml:space="preserve">5 年（验收演示）</w:t>
            </w:r>
          </w:p>
        </w:tc>
        <w:tc>
          <w:tcPr>
            <w:tcW w:w="1067" w:type="dxa"/>
            <w:noWrap w:val="0"/>
            <w:vAlign w:val="top"/>
          </w:tcPr>
          <w:p w14:paraId="460F3DB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52-53</w:t>
            </w:r>
          </w:p>
        </w:tc>
      </w:tr>
    </w:tbl>
    <w:p w14:paraId="72688C2B">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p>
    <w:p w14:paraId="6E5736ED">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毕业证书复印件：</w:t>
      </w:r>
    </w:p>
    <w:p w14:paraId="7D01DCBF">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commentRangeStart w:id="12"/>
      <w:r>
        <w:rPr>
          <w:rFonts w:hint="eastAsia" w:ascii="仿宋" w:hAnsi="仿宋" w:eastAsia="仿宋" w:cs="仿宋"/>
          <w:sz w:val="28"/>
          <w:szCs w:val="28"/>
          <w:highlight w:val="none"/>
          <w:lang w:eastAsia="zh-CN"/>
        </w:rPr>
        <w:t>学位证书复印件：</w:t>
      </w:r>
      <w:commentRangeEnd w:id="12"/>
      <w:r>
        <w:rPr>
          <w:rStyle w:val="CommentReference"/>
        </w:rPr>
        <w:commentReference w:id="12"/>
      </w:r>
    </w:p>
    <w:p w14:paraId="5D70B121">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政府相关单位开具的社保缴纳证明：</w:t>
      </w:r>
    </w:p>
    <w:p w14:paraId="12680B94">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7"/>
        <w:gridCol w:w="1397"/>
        <w:gridCol w:w="1431"/>
        <w:gridCol w:w="1076"/>
        <w:gridCol w:w="1076"/>
        <w:gridCol w:w="1067"/>
      </w:tblGrid>
      <w:tr w14:paraId="212DBD69">
        <w:trPr>
          <w:jc w:val="center"/>
        </w:trPr>
        <w:tc>
          <w:tcPr>
            <w:tcW w:w="1397" w:type="dxa"/>
            <w:noWrap w:val="0"/>
            <w:vAlign w:val="top"/>
          </w:tcPr>
          <w:p w14:paraId="07128BF8">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lang w:eastAsia="zh-CN"/>
              </w:rPr>
            </w:pPr>
            <w:r>
              <w:rPr>
                <w:rFonts w:hint="eastAsia" w:ascii="仿宋" w:hAnsi="仿宋" w:eastAsia="仿宋" w:cs="仿宋"/>
                <w:b/>
                <w:bCs/>
                <w:sz w:val="28"/>
                <w:szCs w:val="28"/>
                <w:highlight w:val="none"/>
                <w:lang w:eastAsia="zh-CN"/>
              </w:rPr>
              <w:t>序号</w:t>
            </w:r>
          </w:p>
        </w:tc>
        <w:tc>
          <w:tcPr>
            <w:tcW w:w="1397" w:type="dxa"/>
            <w:noWrap w:val="0"/>
            <w:vAlign w:val="top"/>
          </w:tcPr>
          <w:p w14:paraId="311CD7ED">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rPr>
            </w:pPr>
            <w:r>
              <w:rPr>
                <w:rFonts w:hint="eastAsia" w:ascii="仿宋" w:hAnsi="仿宋" w:eastAsia="仿宋" w:cs="仿宋"/>
                <w:b/>
                <w:bCs/>
                <w:sz w:val="28"/>
                <w:szCs w:val="28"/>
                <w:highlight w:val="none"/>
                <w:lang w:eastAsia="zh-CN"/>
              </w:rPr>
              <w:t>姓名</w:t>
            </w:r>
          </w:p>
        </w:tc>
        <w:tc>
          <w:tcPr>
            <w:tcW w:w="1431" w:type="dxa"/>
            <w:noWrap w:val="0"/>
            <w:vAlign w:val="top"/>
          </w:tcPr>
          <w:p w14:paraId="32CEBD8F">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rPr>
            </w:pPr>
            <w:r>
              <w:rPr>
                <w:rFonts w:hint="eastAsia" w:ascii="仿宋" w:hAnsi="仿宋" w:eastAsia="仿宋" w:cs="仿宋"/>
                <w:b/>
                <w:bCs/>
                <w:sz w:val="28"/>
                <w:szCs w:val="28"/>
                <w:highlight w:val="none"/>
                <w:lang w:eastAsia="zh-CN"/>
              </w:rPr>
              <w:t>岗位</w:t>
            </w:r>
          </w:p>
        </w:tc>
        <w:tc>
          <w:tcPr>
            <w:tcW w:w="1076" w:type="dxa"/>
            <w:noWrap w:val="0"/>
            <w:vAlign w:val="top"/>
          </w:tcPr>
          <w:p w14:paraId="319FE2CE">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学历</w:t>
            </w:r>
          </w:p>
        </w:tc>
        <w:tc>
          <w:tcPr>
            <w:tcW w:w="1076" w:type="dxa"/>
            <w:noWrap w:val="0"/>
            <w:vAlign w:val="top"/>
          </w:tcPr>
          <w:p w14:paraId="4586D120">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工作年限</w:t>
            </w:r>
          </w:p>
        </w:tc>
        <w:tc>
          <w:tcPr>
            <w:tcW w:w="1067" w:type="dxa"/>
            <w:noWrap w:val="0"/>
            <w:vAlign w:val="top"/>
          </w:tcPr>
          <w:p w14:paraId="0AC19B27">
            <w:pPr>
              <w:pageBreakBefore w:val="0"/>
              <w:kinsoku/>
              <w:wordWrap/>
              <w:overflowPunct/>
              <w:topLinePunct w:val="0"/>
              <w:bidi w:val="0"/>
              <w:spacing w:beforeAutospacing="0" w:line="560" w:lineRule="exact"/>
              <w:jc w:val="center"/>
              <w:rPr>
                <w:rFonts w:hint="eastAsia" w:ascii="仿宋" w:hAnsi="仿宋" w:eastAsia="仿宋" w:cs="仿宋"/>
                <w:b/>
                <w:bCs/>
                <w:sz w:val="28"/>
                <w:szCs w:val="28"/>
                <w:highlight w:val="none"/>
                <w:vertAlign w:val="baseline"/>
                <w:lang w:eastAsia="zh-CN"/>
              </w:rPr>
            </w:pPr>
            <w:r>
              <w:rPr>
                <w:rFonts w:hint="eastAsia" w:ascii="仿宋" w:hAnsi="仿宋" w:eastAsia="仿宋" w:cs="仿宋"/>
                <w:b/>
                <w:bCs/>
                <w:sz w:val="28"/>
                <w:szCs w:val="28"/>
                <w:highlight w:val="none"/>
                <w:vertAlign w:val="baseline"/>
                <w:lang w:eastAsia="zh-CN"/>
              </w:rPr>
              <w:t>材料所在页码</w:t>
            </w:r>
          </w:p>
        </w:tc>
      </w:tr>
      <w:tr w14:paraId="5BBC492F">
        <w:trPr>
          <w:jc w:val="center"/>
        </w:trPr>
        <w:tc>
          <w:tcPr>
            <w:tcW w:w="1397" w:type="dxa"/>
            <w:noWrap w:val="0"/>
            <w:vAlign w:val="top"/>
          </w:tcPr>
          <w:p w14:paraId="154682B6">
            <w:pPr>
              <w:pageBreakBefore w:val="0"/>
              <w:kinsoku/>
              <w:wordWrap/>
              <w:overflowPunct/>
              <w:topLinePunct w:val="0"/>
              <w:bidi w:val="0"/>
              <w:spacing w:beforeAutospacing="0" w:line="560" w:lineRule="exact"/>
              <w:jc w:val="center"/>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3</w:t>
            </w:r>
          </w:p>
        </w:tc>
        <w:tc>
          <w:tcPr>
            <w:tcW w:w="1397" w:type="dxa"/>
            <w:noWrap w:val="0"/>
            <w:vAlign w:val="top"/>
          </w:tcPr>
          <w:p w14:paraId="48BF14D3">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 xml:space="preserve">（第 3 行：无第 3 人，按承诺清单仅投 2 人）</w:t>
            </w:r>
          </w:p>
        </w:tc>
        <w:tc>
          <w:tcPr>
            <w:tcW w:w="1431" w:type="dxa"/>
            <w:noWrap w:val="0"/>
            <w:vAlign w:val="top"/>
          </w:tcPr>
          <w:p w14:paraId="41F24DD7">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eastAsia="zh-CN"/>
              </w:rPr>
              <w:t xml:space="preserve">无第 3 人</w:t>
            </w:r>
          </w:p>
        </w:tc>
        <w:tc>
          <w:tcPr>
            <w:tcW w:w="1076" w:type="dxa"/>
            <w:noWrap w:val="0"/>
            <w:vAlign w:val="top"/>
          </w:tcPr>
          <w:p w14:paraId="658A77FF">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eastAsia="zh-CN"/>
              </w:rPr>
            </w:pPr>
            <w:r>
              <w:rPr>
                <w:rFonts w:hint="eastAsia" w:ascii="仿宋" w:hAnsi="仿宋" w:eastAsia="仿宋" w:cs="仿宋"/>
                <w:sz w:val="28"/>
                <w:szCs w:val="28"/>
                <w:highlight w:val="none"/>
                <w:vertAlign w:val="baseline"/>
                <w:lang w:eastAsia="zh-CN"/>
              </w:rPr>
              <w:t xml:space="preserve">—</w:t>
            </w:r>
          </w:p>
        </w:tc>
        <w:tc>
          <w:tcPr>
            <w:tcW w:w="1076" w:type="dxa"/>
            <w:noWrap w:val="0"/>
            <w:vAlign w:val="top"/>
          </w:tcPr>
          <w:p w14:paraId="5E833A47">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 xml:space="preserve">—</w:t>
            </w:r>
          </w:p>
        </w:tc>
        <w:tc>
          <w:tcPr>
            <w:tcW w:w="1067" w:type="dxa"/>
            <w:noWrap w:val="0"/>
            <w:vAlign w:val="top"/>
          </w:tcPr>
          <w:p w14:paraId="2B298618">
            <w:pPr>
              <w:pageBreakBefore w:val="0"/>
              <w:kinsoku/>
              <w:wordWrap/>
              <w:overflowPunct/>
              <w:topLinePunct w:val="0"/>
              <w:bidi w:val="0"/>
              <w:spacing w:beforeAutospacing="0" w:line="560" w:lineRule="exact"/>
              <w:jc w:val="left"/>
              <w:rPr>
                <w:rFonts w:hint="eastAsia" w:ascii="仿宋" w:hAnsi="仿宋" w:eastAsia="仿宋" w:cs="仿宋"/>
                <w:sz w:val="28"/>
                <w:szCs w:val="28"/>
                <w:highlight w:val="none"/>
                <w:vertAlign w:val="baseline"/>
                <w:lang w:val="en-US" w:eastAsia="zh-CN"/>
              </w:rPr>
            </w:pPr>
            <w:r>
              <w:rPr>
                <w:rFonts w:hint="eastAsia" w:ascii="仿宋" w:hAnsi="仿宋" w:eastAsia="仿宋" w:cs="仿宋"/>
                <w:sz w:val="28"/>
                <w:szCs w:val="28"/>
                <w:highlight w:val="none"/>
                <w:vertAlign w:val="baseline"/>
                <w:lang w:val="en-US" w:eastAsia="zh-CN"/>
              </w:rPr>
              <w:t xml:space="preserve">—</w:t>
            </w:r>
          </w:p>
        </w:tc>
      </w:tr>
    </w:tbl>
    <w:p w14:paraId="25222961">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毕业证书复印件：</w:t>
      </w:r>
    </w:p>
    <w:p w14:paraId="0E04AC5E">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z w:val="28"/>
          <w:szCs w:val="28"/>
          <w:highlight w:val="none"/>
          <w:lang w:eastAsia="zh-CN"/>
        </w:rPr>
      </w:pPr>
      <w:r>
        <w:rPr>
          <w:rFonts w:hint="eastAsia" w:ascii="仿宋" w:hAnsi="仿宋" w:eastAsia="仿宋" w:cs="仿宋"/>
          <w:sz w:val="28"/>
          <w:szCs w:val="28"/>
          <w:highlight w:val="none"/>
          <w:lang w:eastAsia="zh-CN"/>
        </w:rPr>
        <w:t>学位证书复印件：</w:t>
      </w:r>
    </w:p>
    <w:p w14:paraId="3436A561">
      <w:pPr>
        <w:pageBreakBefore w:val="0"/>
        <w:kinsoku/>
        <w:wordWrap/>
        <w:overflowPunct/>
        <w:topLinePunct w:val="0"/>
        <w:bidi w:val="0"/>
        <w:spacing w:beforeAutospacing="0" w:line="560" w:lineRule="exact"/>
        <w:ind w:left="0" w:leftChars="0" w:firstLine="560" w:firstLineChars="200"/>
        <w:jc w:val="left"/>
        <w:rPr>
          <w:rFonts w:hint="eastAsia" w:ascii="仿宋" w:hAnsi="仿宋" w:eastAsia="仿宋" w:cs="仿宋"/>
          <w:smallCaps w:val="0"/>
          <w:kern w:val="0"/>
          <w:sz w:val="28"/>
          <w:szCs w:val="28"/>
          <w:highlight w:val="none"/>
        </w:rPr>
      </w:pPr>
      <w:r>
        <w:rPr>
          <w:rFonts w:hint="eastAsia" w:ascii="仿宋" w:hAnsi="仿宋" w:eastAsia="仿宋" w:cs="仿宋"/>
          <w:sz w:val="28"/>
          <w:szCs w:val="28"/>
          <w:highlight w:val="none"/>
          <w:lang w:eastAsia="zh-CN"/>
        </w:rPr>
        <w:t>政府相关单位开具的社保缴纳证明：</w:t>
      </w:r>
    </w:p>
    <w:p>
      <w:pPr>
        <w:pStyle w:val="Heading2"/>
      </w:pPr>
      <w:r>
        <w:t>6.9 数据质量监控与增值服务承诺</w:t>
      </w:r>
    </w:p>
    <w:p>
      <w:pPr>
        <w:pStyle w:val="TenderBody"/>
      </w:pPr>
      <w:r>
        <w:t>我方基于数据质量控制平台建设对采购人的数据运行监控，主要工具如下：</w:t>
      </w:r>
    </w:p>
    <w:p>
      <w:pPr>
        <w:pStyle w:val="TenderBody"/>
      </w:pPr>
      <w:r>
        <w:t>质量看板：支持对数据质量问题数据进行变化趋势分析，更直观的查看质量问题的变化以及对质量问题数据进行分析。</w:t>
      </w:r>
    </w:p>
    <w:p>
      <w:pPr>
        <w:pStyle w:val="TenderBody"/>
      </w:pPr>
      <w:r>
        <w:t>规则引擎：支持对字段、字段与字段、表间记录、表与表多维度自定义规则，并辅助模型检测，核查数据问题。</w:t>
      </w:r>
    </w:p>
    <w:p>
      <w:pPr>
        <w:pStyle w:val="TenderBody"/>
      </w:pPr>
      <w:r>
        <w:t>质量监控：对重点数据和重点库表进行监控，对异常数据及时预警并跟踪。</w:t>
      </w:r>
    </w:p>
    <w:p>
      <w:pPr>
        <w:pStyle w:val="TenderBody"/>
      </w:pPr>
      <w:r>
        <w:t>质量报告：多维度统计数据质量问题并生成报告，沉淀质量问题，进一步提高数据质量。</w:t>
      </w:r>
    </w:p>
    <w:p>
      <w:pPr>
        <w:pStyle w:val="TenderBody"/>
        <w:rPr/>
      </w:pPr>
      <w:r>
        <w:t xml:space="preserve">按本项目知识产权保护要求：我方不将产品所涉及的设计思想、产品结构、技术文档、源代码等技术资料转让、销售、赠送或泄露给第三方；本服务项目产生的成果及开发过程中已融入的定制成果，其知识产权和相关专利归采购人所有；我方为采购人编制的所有计划、图纸、规范/说明书、方案、案例、报告、其他文件和软件均为采购人财产，最迟不超过合同终止或期满时全部交付采购人。因我方数据质量问题给采购人造成经济损失或名誉伤害的，我方负责赔偿全部损失。</w:t>
      </w:r>
    </w:p>
    <w:p>
      <w:pPr>
        <w:pStyle w:val="TenderBody"/>
      </w:pPr>
      <w:r>
        <w:t>在此监控体系基础上，我方向采购人提供以下常态服务：其一，质量异动预警主动推送——重点数据的异动、缺失、异常一经系统识别即实时通知采购人指定联系人，不等采购人查询发现；其二，按月出具数据运行监控报告，内容包括数据更新及时性、同步成功率、质量规则触发情况与处置结果，供采购人按月评估服务状况。对采购人提出的数据问题异议，按双方约定时限核实并书面回复。</w:t>
      </w:r>
    </w:p>
    <w:p>
      <w:pPr>
        <w:pStyle w:val="TenderBody"/>
      </w:pPr>
      <w:r>
        <w:t>为提升采购人外部数据服务的使用价值，我方承诺在合同期内免费提供以下三项增值服务：</w:t>
      </w:r>
    </w:p>
    <w:p>
      <w:pPr>
        <w:pStyle w:val="TenderCaption"/>
        <w:jc w:val="center"/>
      </w:pPr>
      <w:r>
        <w:t xml:space="preserve">表 6-3 增值服务清单</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75"/>
        <w:gridCol w:w="2075"/>
        <w:gridCol w:w="2075"/>
        <w:gridCol w:w="2075"/>
      </w:tblGrid>
      <w:tr>
        <w:tc>
          <w:tcPr>
            <w:tcW w:type="dxa" w:w="2075"/>
            <w:shd w:val="clear" w:color="auto" w:fill="F2F2F2"/>
          </w:tcPr>
          <w:p>
            <w:pPr>
              <w:jc w:val="center"/>
            </w:pPr>
            <w:r>
              <w:rPr>
                <w:b/>
              </w:rPr>
              <w:t>序号</w:t>
            </w:r>
          </w:p>
        </w:tc>
        <w:tc>
          <w:tcPr>
            <w:tcW w:type="dxa" w:w="2075"/>
            <w:shd w:val="clear" w:color="auto" w:fill="F2F2F2"/>
          </w:tcPr>
          <w:p>
            <w:pPr>
              <w:jc w:val="center"/>
            </w:pPr>
            <w:r>
              <w:rPr>
                <w:b/>
              </w:rPr>
              <w:t>增值服务</w:t>
            </w:r>
          </w:p>
        </w:tc>
        <w:tc>
          <w:tcPr>
            <w:tcW w:type="dxa" w:w="2075"/>
            <w:shd w:val="clear" w:color="auto" w:fill="F2F2F2"/>
          </w:tcPr>
          <w:p>
            <w:pPr>
              <w:jc w:val="center"/>
            </w:pPr>
            <w:r>
              <w:rPr>
                <w:b/>
              </w:rPr>
              <w:t>服务内容</w:t>
            </w:r>
          </w:p>
        </w:tc>
        <w:tc>
          <w:tcPr>
            <w:tcW w:type="dxa" w:w="2075"/>
            <w:shd w:val="clear" w:color="auto" w:fill="F2F2F2"/>
          </w:tcPr>
          <w:p>
            <w:pPr>
              <w:jc w:val="center"/>
            </w:pPr>
            <w:r>
              <w:rPr>
                <w:b/>
              </w:rPr>
              <w:t>提供频次</w:t>
            </w:r>
          </w:p>
        </w:tc>
      </w:tr>
      <w:tr>
        <w:tc>
          <w:tcPr>
            <w:tcW w:type="dxa" w:w="2075"/>
          </w:tcPr>
          <w:p>
            <w:r>
              <w:t>1</w:t>
            </w:r>
          </w:p>
        </w:tc>
        <w:tc>
          <w:tcPr>
            <w:tcW w:type="dxa" w:w="2075"/>
          </w:tcPr>
          <w:p>
            <w:r>
              <w:t>市场资讯研究简报</w:t>
            </w:r>
          </w:p>
        </w:tc>
        <w:tc>
          <w:tcPr>
            <w:tcW w:type="dxa" w:w="2075"/>
          </w:tcPr>
          <w:p>
            <w:r>
              <w:t>围绕采购人关注的行业产业链、资讯与研究分析、ESG与绿色金融方向，输出月度重点资讯与研究观点摘要</w:t>
            </w:r>
          </w:p>
        </w:tc>
        <w:tc>
          <w:tcPr>
            <w:tcW w:type="dxa" w:w="2075"/>
          </w:tcPr>
          <w:p>
            <w:r>
              <w:t>每月1次，合同期内持续</w:t>
            </w:r>
          </w:p>
        </w:tc>
      </w:tr>
      <w:tr>
        <w:tc>
          <w:tcPr>
            <w:tcW w:type="dxa" w:w="2075"/>
          </w:tcPr>
          <w:p>
            <w:r>
              <w:t>2</w:t>
            </w:r>
          </w:p>
        </w:tc>
        <w:tc>
          <w:tcPr>
            <w:tcW w:type="dxa" w:w="2075"/>
          </w:tcPr>
          <w:p>
            <w:r>
              <w:t>数据口径说明与答疑支持</w:t>
            </w:r>
          </w:p>
        </w:tc>
        <w:tc>
          <w:tcPr>
            <w:tcW w:type="dxa" w:w="2075"/>
          </w:tcPr>
          <w:p>
            <w:r>
              <w:t>对数据字段口径、指标计算逻辑提供书面说明；对采购人使用中的口径疑问提供专项答疑</w:t>
            </w:r>
          </w:p>
        </w:tc>
        <w:tc>
          <w:tcPr>
            <w:tcW w:type="dxa" w:w="2075"/>
          </w:tcPr>
          <w:p>
            <w:r>
              <w:t>按需，合同期内持续</w:t>
            </w:r>
          </w:p>
        </w:tc>
      </w:tr>
      <w:tr>
        <w:tc>
          <w:tcPr>
            <w:tcW w:type="dxa" w:w="2075"/>
          </w:tcPr>
          <w:p>
            <w:r>
              <w:t>3</w:t>
            </w:r>
          </w:p>
        </w:tc>
        <w:tc>
          <w:tcPr>
            <w:tcW w:type="dxa" w:w="2075"/>
          </w:tcPr>
          <w:p>
            <w:r>
              <w:t>行业事件数据专题解读</w:t>
            </w:r>
          </w:p>
        </w:tc>
        <w:tc>
          <w:tcPr>
            <w:tcW w:type="dxa" w:w="2075"/>
          </w:tcPr>
          <w:p>
            <w:r>
              <w:t>针对重大行业事件、监管政策变化，提供受影响数据范围说明与使用建议</w:t>
            </w:r>
          </w:p>
        </w:tc>
        <w:tc>
          <w:tcPr>
            <w:tcW w:type="dxa" w:w="2075"/>
          </w:tcPr>
          <w:p>
            <w:r>
              <w:t>事件触发，合同期内持续</w:t>
            </w:r>
          </w:p>
        </w:tc>
      </w:tr>
    </w:tbl>
    <w:p>
      <w:pPr>
        <w:pStyle w:val="TenderBody"/>
      </w:pPr>
      <w:r>
        <w:t>以上增值服务不另行收费，服务结果以采购人确认的需求范围为准。</w:t>
      </w:r>
    </w:p>
    <w:p>
      <w:pPr>
        <w:pStyle w:val="Heading2"/>
      </w:pPr>
      <w:r>
        <w:t>6.10 合规承诺函（格式6-6）</w:t>
      </w:r>
    </w:p>
    <w:p w14:paraId="725247C0">
      <w:pPr>
        <w:pStyle w:val="8"/>
        <w:jc w:val="center"/>
        <w:outlineLvl w:val="9"/>
        <w:rPr>
          <w:rFonts w:hint="eastAsia" w:ascii="仿宋" w:hAnsi="仿宋" w:eastAsia="仿宋" w:cs="仿宋"/>
          <w:b/>
          <w:bCs w:val="0"/>
          <w:color w:val="auto"/>
          <w:sz w:val="28"/>
          <w:szCs w:val="28"/>
          <w:highlight w:val="none"/>
          <w:lang w:val="en-US" w:eastAsia="zh-CN"/>
        </w:rPr>
      </w:pPr>
      <w:r>
        <w:rPr>
          <w:rFonts w:hint="eastAsia" w:ascii="仿宋" w:hAnsi="仿宋" w:eastAsia="仿宋" w:cs="仿宋"/>
          <w:b/>
          <w:bCs w:val="0"/>
          <w:color w:val="auto"/>
          <w:sz w:val="28"/>
          <w:szCs w:val="28"/>
          <w:highlight w:val="none"/>
          <w:lang w:val="en-US" w:eastAsia="zh-CN"/>
        </w:rPr>
        <w:t>6-6 合规承诺函</w:t>
      </w:r>
    </w:p>
    <w:p w14:paraId="3DCDA418">
      <w:pPr>
        <w:rPr>
          <w:rFonts w:hint="eastAsia" w:ascii="仿宋" w:hAnsi="仿宋" w:eastAsia="仿宋" w:cs="仿宋"/>
          <w:highlight w:val="none"/>
        </w:rPr>
      </w:pPr>
    </w:p>
    <w:p w14:paraId="373DEEEB">
      <w:pPr>
        <w:pStyle w:val="26"/>
        <w:pageBreakBefore w:val="0"/>
        <w:kinsoku/>
        <w:wordWrap/>
        <w:overflowPunct/>
        <w:topLinePunct w:val="0"/>
        <w:bidi w:val="0"/>
        <w:spacing w:beforeAutospacing="0" w:line="360" w:lineRule="auto"/>
        <w:ind w:left="0" w:leftChars="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致：赣州银行股份有限公司</w:t>
      </w:r>
    </w:p>
    <w:p w14:paraId="3BF8A4FC">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我公司（杭州研数科技有限公司（验收演示））愿意针对赣州银行2026年度外部数据供应商入围采购项目（招标编号：JXYJ2026-GZYH-G005-1，标段三：行业产业链、资讯与研究分析、ESG与绿色金融数据）进行投标，并承诺如下：</w:t>
      </w:r>
    </w:p>
    <w:p w14:paraId="358EF78B">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一、</w:t>
      </w:r>
      <w:r>
        <w:rPr>
          <w:rFonts w:hint="eastAsia" w:ascii="仿宋" w:hAnsi="仿宋" w:eastAsia="仿宋" w:cs="仿宋"/>
          <w:smallCaps w:val="0"/>
          <w:kern w:val="0"/>
          <w:sz w:val="28"/>
          <w:szCs w:val="28"/>
          <w:highlight w:val="none"/>
        </w:rPr>
        <w:t>本公司所提供的数据来源合法合规，符合法律法规、监管机构要求</w:t>
      </w:r>
      <w:r>
        <w:rPr>
          <w:rFonts w:hint="eastAsia" w:ascii="仿宋" w:hAnsi="仿宋" w:eastAsia="仿宋" w:cs="仿宋"/>
          <w:smallCaps w:val="0"/>
          <w:kern w:val="0"/>
          <w:sz w:val="28"/>
          <w:szCs w:val="28"/>
          <w:highlight w:val="none"/>
          <w:lang w:eastAsia="zh-CN"/>
        </w:rPr>
        <w:t>。</w:t>
      </w:r>
    </w:p>
    <w:p w14:paraId="59D1E53B">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二、</w:t>
      </w:r>
      <w:r>
        <w:rPr>
          <w:rFonts w:hint="eastAsia" w:ascii="仿宋" w:hAnsi="仿宋" w:eastAsia="仿宋" w:cs="仿宋"/>
          <w:smallCaps w:val="0"/>
          <w:kern w:val="0"/>
          <w:sz w:val="28"/>
          <w:szCs w:val="28"/>
          <w:highlight w:val="none"/>
        </w:rPr>
        <w:t>本公司承诺在收集、使用、存储、加工、对外提供客户数据过程中，均获得了被查询主体的有效授权，不会侵犯第三方商业秘密或个人隐私等合法权益。</w:t>
      </w:r>
    </w:p>
    <w:p w14:paraId="2A9661CC">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三、</w:t>
      </w:r>
      <w:r>
        <w:rPr>
          <w:rFonts w:hint="eastAsia" w:ascii="仿宋" w:hAnsi="仿宋" w:eastAsia="仿宋" w:cs="仿宋"/>
          <w:smallCaps w:val="0"/>
          <w:kern w:val="0"/>
          <w:sz w:val="28"/>
          <w:szCs w:val="28"/>
          <w:highlight w:val="none"/>
        </w:rPr>
        <w:t>本公司已制定严格的数据安全保密制度、网络安全事件应急预案，及时处置系统漏洞、计算机病毒、网络攻击、网络侵入等安全风险，明确数据的安全。</w:t>
      </w:r>
    </w:p>
    <w:p>
      <w:pPr>
        <w:pStyle w:val="TenderBody"/>
        <w:rPr/>
      </w:pPr>
      <w:r>
        <w:t xml:space="preserve">四、本公司对外部数据的传输通道采用专线或VPN；经互联网传输数据时使用SSL/TLS等强壮的加密算法与安全协议，保证传输过程安全可控。</w:t>
      </w:r>
    </w:p>
    <w:p>
      <w:pPr>
        <w:pStyle w:val="TenderBody"/>
        <w:rPr/>
      </w:pPr>
      <w:r>
        <w:t xml:space="preserve">五、本公司负责采购人所需外部数据信息处理，保证数据系统支撑本项目所涉及外部数据服务正常运行，并对采购人输出数据严格保密；在服务实施中执行严格的质量管理，对采购人的服务结果异议复核请求及时核实和回复，并提供产品使用、系统运维、数据解读、风险合规等相关培训。</w:t>
      </w:r>
    </w:p>
    <w:p>
      <w:pPr>
        <w:pStyle w:val="TenderBody"/>
        <w:rPr/>
      </w:pPr>
      <w:r>
        <w:t xml:space="preserve">特此声明！</w:t>
      </w:r>
    </w:p>
    <w:p w14:paraId="53B00EC8">
      <w:pPr>
        <w:rPr>
          <w:rFonts w:hint="eastAsia" w:ascii="仿宋" w:hAnsi="仿宋" w:eastAsia="仿宋" w:cs="仿宋"/>
          <w:highlight w:val="none"/>
        </w:rPr>
      </w:pPr>
    </w:p>
    <w:p w14:paraId="7EDFE0E9">
      <w:pPr>
        <w:spacing w:line="360" w:lineRule="auto"/>
        <w:ind w:right="420"/>
        <w:rPr>
          <w:rFonts w:hint="eastAsia" w:ascii="仿宋" w:hAnsi="仿宋" w:eastAsia="仿宋" w:cs="仿宋"/>
          <w:sz w:val="27"/>
          <w:szCs w:val="27"/>
          <w:highlight w:val="none"/>
        </w:rPr>
      </w:pPr>
    </w:p>
    <w:p w14:paraId="7CC05BE8">
      <w:pPr>
        <w:pageBreakBefore w:val="0"/>
        <w:widowControl/>
        <w:kinsoku/>
        <w:wordWrap/>
        <w:overflowPunct/>
        <w:topLinePunct w:val="0"/>
        <w:bidi w:val="0"/>
        <w:spacing w:beforeAutospacing="0" w:line="360" w:lineRule="auto"/>
        <w:ind w:left="0" w:leftChars="0" w:firstLine="5180" w:firstLineChars="18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 xml:space="preserve">投标供应商名称（公章）：杭州研数科技有限公司（验收演示）</w:t>
      </w:r>
    </w:p>
    <w:p w14:paraId="7309A546">
      <w:pPr>
        <w:pageBreakBefore w:val="0"/>
        <w:widowControl/>
        <w:kinsoku/>
        <w:wordWrap/>
        <w:overflowPunct/>
        <w:topLinePunct w:val="0"/>
        <w:bidi w:val="0"/>
        <w:spacing w:beforeAutospacing="0" w:line="360" w:lineRule="auto"/>
        <w:ind w:left="0" w:leftChars="0" w:firstLine="140" w:firstLineChars="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                    </w:t>
      </w:r>
      <w:r>
        <w:rPr>
          <w:rFonts w:hint="eastAsia" w:ascii="仿宋" w:hAnsi="仿宋" w:eastAsia="仿宋" w:cs="仿宋"/>
          <w:smallCaps w:val="0"/>
          <w:kern w:val="0"/>
          <w:sz w:val="28"/>
          <w:szCs w:val="28"/>
          <w:highlight w:val="none"/>
        </w:rPr>
        <w:t xml:space="preserve">法定代表人（经营者）（签字或盖章）：陈演示</w:t>
      </w:r>
      <w:r>
        <w:rPr>
          <w:rFonts w:hint="eastAsia" w:ascii="仿宋" w:hAnsi="仿宋" w:eastAsia="仿宋" w:cs="仿宋"/>
          <w:smallCaps w:val="0"/>
          <w:kern w:val="0"/>
          <w:sz w:val="28"/>
          <w:szCs w:val="28"/>
          <w:highlight w:val="none"/>
        </w:rPr>
        <w:t xml:space="preserve">        </w:t>
      </w:r>
    </w:p>
    <w:p w14:paraId="67C31AF5">
      <w:pPr>
        <w:widowControl/>
        <w:kinsoku/>
        <w:wordWrap/>
        <w:overflowPunct/>
        <w:topLinePunct w:val="0"/>
        <w:bidi w:val="0"/>
        <w:spacing w:line="360" w:lineRule="auto"/>
        <w:ind w:firstLine="5600" w:firstLineChars="200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2026年8月19日</w:t>
      </w:r>
    </w:p>
    <w:p>
      <w:pPr>
        <w:pStyle w:val="Heading2"/>
      </w:pPr>
      <w:r>
        <w:t>6.11 数据源授权承诺函（格式6-7）</w:t>
      </w:r>
    </w:p>
    <w:p w14:paraId="25A5BDB2">
      <w:pPr>
        <w:pStyle w:val="10"/>
        <w:jc w:val="center"/>
        <w:outlineLvl w:val="9"/>
        <w:rPr>
          <w:rFonts w:hint="eastAsia" w:ascii="仿宋" w:hAnsi="仿宋" w:eastAsia="仿宋" w:cs="仿宋"/>
          <w:b/>
          <w:bCs w:val="0"/>
          <w:color w:val="auto"/>
          <w:sz w:val="28"/>
          <w:szCs w:val="28"/>
          <w:highlight w:val="none"/>
          <w:lang w:val="en-US" w:eastAsia="zh-CN"/>
        </w:rPr>
      </w:pPr>
      <w:r>
        <w:rPr>
          <w:rFonts w:hint="eastAsia" w:ascii="仿宋" w:hAnsi="仿宋" w:eastAsia="仿宋" w:cs="仿宋"/>
          <w:b/>
          <w:bCs w:val="0"/>
          <w:color w:val="auto"/>
          <w:sz w:val="28"/>
          <w:szCs w:val="28"/>
          <w:highlight w:val="none"/>
          <w:lang w:val="en-US" w:eastAsia="zh-CN"/>
        </w:rPr>
        <w:br w:type="page"/>
      </w:r>
      <w:r>
        <w:rPr>
          <w:rFonts w:hint="eastAsia" w:ascii="仿宋" w:hAnsi="仿宋" w:eastAsia="仿宋" w:cs="仿宋"/>
          <w:b/>
          <w:bCs w:val="0"/>
          <w:color w:val="auto"/>
          <w:sz w:val="28"/>
          <w:szCs w:val="28"/>
          <w:highlight w:val="none"/>
          <w:lang w:val="en-US" w:eastAsia="zh-CN"/>
        </w:rPr>
        <w:t>6-7 数据源授权承诺函</w:t>
      </w:r>
    </w:p>
    <w:p w14:paraId="6CB0368E">
      <w:pPr>
        <w:rPr>
          <w:rFonts w:hint="eastAsia" w:ascii="仿宋" w:hAnsi="仿宋" w:eastAsia="仿宋" w:cs="仿宋"/>
          <w:highlight w:val="none"/>
        </w:rPr>
      </w:pPr>
    </w:p>
    <w:p w14:paraId="163EE699">
      <w:pPr>
        <w:pStyle w:val="26"/>
        <w:pageBreakBefore w:val="0"/>
        <w:kinsoku/>
        <w:wordWrap/>
        <w:overflowPunct/>
        <w:topLinePunct w:val="0"/>
        <w:bidi w:val="0"/>
        <w:spacing w:beforeAutospacing="0" w:line="360" w:lineRule="auto"/>
        <w:ind w:left="0" w:leftChars="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致：赣州银行股份有限公司</w:t>
      </w:r>
    </w:p>
    <w:p w14:paraId="6AECA7A3">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我公司（杭州研数科技有限公司（验收演示））愿意针对赣州银行2026年度外部数据供应商入围采购项目（招标编号：JXYJ2026-GZYH-G005-1，标段三：行业产业链、资讯与研究分析、ESG与绿色金融数据）进行投标，并承诺如下：</w:t>
      </w:r>
    </w:p>
    <w:p w14:paraId="3F35180F">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b w:val="0"/>
          <w:bCs w:val="0"/>
          <w:smallCaps w:val="0"/>
          <w:kern w:val="0"/>
          <w:sz w:val="28"/>
          <w:szCs w:val="28"/>
          <w:highlight w:val="none"/>
        </w:rPr>
      </w:pPr>
      <w:r>
        <w:rPr>
          <w:rFonts w:hint="eastAsia" w:ascii="仿宋" w:hAnsi="仿宋" w:eastAsia="仿宋" w:cs="仿宋"/>
          <w:smallCaps w:val="0"/>
          <w:kern w:val="0"/>
          <w:sz w:val="28"/>
          <w:szCs w:val="28"/>
          <w:highlight w:val="none"/>
        </w:rPr>
        <w:t>本公司所提供的</w:t>
      </w:r>
      <w:r>
        <w:rPr>
          <w:rFonts w:hint="eastAsia" w:ascii="仿宋" w:hAnsi="仿宋" w:eastAsia="仿宋" w:cs="仿宋"/>
          <w:smallCaps w:val="0"/>
          <w:sz w:val="28"/>
          <w:szCs w:val="28"/>
          <w:highlight w:val="none"/>
          <w:lang w:eastAsia="zh-CN"/>
        </w:rPr>
        <w:t>数据获取方式符合《数据安全法》、《个人信息保护法》等国家法律法规，具有合法的数据授权，</w:t>
      </w:r>
      <w:r>
        <w:rPr>
          <w:rFonts w:hint="eastAsia" w:ascii="仿宋" w:hAnsi="仿宋" w:eastAsia="仿宋" w:cs="仿宋"/>
          <w:b w:val="0"/>
          <w:bCs w:val="0"/>
          <w:smallCaps w:val="0"/>
          <w:sz w:val="28"/>
          <w:szCs w:val="28"/>
          <w:highlight w:val="none"/>
          <w:lang w:val="en-US" w:eastAsia="zh-CN"/>
        </w:rPr>
        <w:t>且</w:t>
      </w:r>
      <w:r>
        <w:rPr>
          <w:rFonts w:hint="eastAsia" w:ascii="仿宋" w:hAnsi="仿宋" w:eastAsia="仿宋" w:cs="仿宋"/>
          <w:b w:val="0"/>
          <w:bCs w:val="0"/>
          <w:smallCaps w:val="0"/>
          <w:color w:val="auto"/>
          <w:kern w:val="0"/>
          <w:sz w:val="28"/>
          <w:szCs w:val="28"/>
          <w:highlight w:val="none"/>
          <w:lang w:val="en-US" w:eastAsia="zh-CN" w:bidi="ar-SA"/>
        </w:rPr>
        <w:t>后期实际采购时提供相应数据授权证明</w:t>
      </w:r>
      <w:r>
        <w:rPr>
          <w:rFonts w:hint="eastAsia" w:ascii="仿宋" w:hAnsi="仿宋" w:eastAsia="仿宋" w:cs="仿宋"/>
          <w:b w:val="0"/>
          <w:bCs w:val="0"/>
          <w:smallCaps w:val="0"/>
          <w:kern w:val="0"/>
          <w:sz w:val="28"/>
          <w:szCs w:val="28"/>
          <w:highlight w:val="none"/>
          <w:lang w:eastAsia="zh-CN"/>
        </w:rPr>
        <w:t>。</w:t>
      </w:r>
    </w:p>
    <w:p>
      <w:pPr>
        <w:pStyle w:val="TenderBody"/>
        <w:rPr/>
      </w:pPr>
      <w:r>
        <w:t xml:space="preserve">本公司保证提供2套及以上数据服务器环境，在发现主服务器异常后可立即切换至备用数据服务器环境，保障数据服务稳定连续。</w:t>
      </w:r>
    </w:p>
    <w:p>
      <w:pPr>
        <w:pStyle w:val="TenderBody"/>
        <w:rPr/>
      </w:pPr>
      <w:r>
        <w:t xml:space="preserve">本公司承诺发生数据泄露、合规风险时，1小时内通报采购人，24小时内出具正式处置报告，并免费配合采购人完成监管报备、溯源核查等工作。</w:t>
      </w:r>
    </w:p>
    <w:p>
      <w:pPr>
        <w:pStyle w:val="TenderBody"/>
        <w:rPr/>
      </w:pPr>
      <w:r>
        <w:t xml:space="preserve">特此声明！</w:t>
      </w:r>
    </w:p>
    <w:p w14:paraId="3664A3A3">
      <w:pPr>
        <w:rPr>
          <w:rFonts w:hint="eastAsia" w:ascii="仿宋" w:hAnsi="仿宋" w:eastAsia="仿宋" w:cs="仿宋"/>
          <w:highlight w:val="none"/>
        </w:rPr>
      </w:pPr>
    </w:p>
    <w:p w14:paraId="062D4CD0">
      <w:pPr>
        <w:spacing w:line="360" w:lineRule="auto"/>
        <w:ind w:right="420"/>
        <w:rPr>
          <w:rFonts w:hint="eastAsia" w:ascii="仿宋" w:hAnsi="仿宋" w:eastAsia="仿宋" w:cs="仿宋"/>
          <w:sz w:val="27"/>
          <w:szCs w:val="27"/>
          <w:highlight w:val="none"/>
        </w:rPr>
      </w:pPr>
    </w:p>
    <w:p w14:paraId="5BA28BFF">
      <w:pPr>
        <w:pageBreakBefore w:val="0"/>
        <w:widowControl/>
        <w:kinsoku/>
        <w:wordWrap/>
        <w:overflowPunct/>
        <w:topLinePunct w:val="0"/>
        <w:bidi w:val="0"/>
        <w:spacing w:beforeAutospacing="0" w:line="360" w:lineRule="auto"/>
        <w:ind w:left="0" w:leftChars="0" w:firstLine="4620" w:firstLineChars="16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 xml:space="preserve">投标供应商名称（公章）：杭州研数科技有限公司（验收演示）</w:t>
      </w:r>
    </w:p>
    <w:p w14:paraId="345F4675">
      <w:pPr>
        <w:pageBreakBefore w:val="0"/>
        <w:widowControl/>
        <w:kinsoku/>
        <w:wordWrap/>
        <w:overflowPunct/>
        <w:topLinePunct w:val="0"/>
        <w:bidi w:val="0"/>
        <w:spacing w:beforeAutospacing="0" w:line="360" w:lineRule="auto"/>
        <w:ind w:left="0" w:leftChars="0" w:firstLine="140" w:firstLineChars="5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                    </w:t>
      </w:r>
      <w:r>
        <w:rPr>
          <w:rFonts w:hint="eastAsia" w:ascii="仿宋" w:hAnsi="仿宋" w:eastAsia="仿宋" w:cs="仿宋"/>
          <w:smallCaps w:val="0"/>
          <w:kern w:val="0"/>
          <w:sz w:val="28"/>
          <w:szCs w:val="28"/>
          <w:highlight w:val="none"/>
        </w:rPr>
        <w:t xml:space="preserve">法定代表人（经营者）（签字或盖章）：陈演示</w:t>
      </w:r>
      <w:r>
        <w:rPr>
          <w:rFonts w:hint="eastAsia" w:ascii="仿宋" w:hAnsi="仿宋" w:eastAsia="仿宋" w:cs="仿宋"/>
          <w:smallCaps w:val="0"/>
          <w:kern w:val="0"/>
          <w:sz w:val="28"/>
          <w:szCs w:val="28"/>
          <w:highlight w:val="none"/>
        </w:rPr>
        <w:t xml:space="preserve">        </w:t>
      </w:r>
    </w:p>
    <w:p w14:paraId="15FACB2A">
      <w:pPr>
        <w:widowControl/>
        <w:spacing w:line="360" w:lineRule="auto"/>
        <w:ind w:firstLine="4760" w:firstLineChars="1700"/>
        <w:jc w:val="left"/>
        <w:rPr>
          <w:rFonts w:hint="eastAsia" w:ascii="仿宋" w:hAnsi="仿宋" w:eastAsia="仿宋" w:cs="仿宋"/>
          <w:color w:val="auto"/>
          <w:sz w:val="28"/>
          <w:szCs w:val="28"/>
          <w:highlight w:val="none"/>
        </w:rPr>
      </w:pPr>
      <w:r>
        <w:rPr>
          <w:rFonts w:hint="eastAsia" w:ascii="仿宋" w:hAnsi="仿宋" w:eastAsia="仿宋" w:cs="仿宋"/>
          <w:smallCaps w:val="0"/>
          <w:kern w:val="0"/>
          <w:sz w:val="28"/>
          <w:szCs w:val="28"/>
          <w:highlight w:val="none"/>
        </w:rPr>
        <w:t xml:space="preserve">2026年8月19日</w:t>
      </w:r>
    </w:p>
    <w:p w14:paraId="6A60DFEE">
      <w:pPr>
        <w:spacing w:line="360" w:lineRule="auto"/>
        <w:jc w:val="left"/>
        <w:rPr>
          <w:rFonts w:hint="eastAsia" w:ascii="仿宋" w:hAnsi="仿宋" w:eastAsia="仿宋" w:cs="仿宋"/>
          <w:color w:val="auto"/>
          <w:highlight w:val="none"/>
        </w:rPr>
      </w:pPr>
    </w:p>
    <w:p>
      <w:pPr>
        <w:pStyle w:val="Heading2"/>
      </w:pPr>
      <w:r>
        <w:t>6.12 技术文档与培训</w:t>
      </w:r>
    </w:p>
    <w:p>
      <w:pPr>
        <w:pStyle w:val="TenderBody"/>
      </w:pPr>
      <w:r>
        <w:t>按采购项目需求 5.4 条要求，本项目实施过程中每个阶段均提交相应文档，文档编写执行国家标准规范，经采购人认可并评审确认后，方可进入下一阶段开发工作。我方据此制定文档交付与评审机制，各阶段交付文档如下表：</w:t>
      </w:r>
    </w:p>
    <w:p>
      <w:pPr>
        <w:pStyle w:val="TenderCaption"/>
        <w:jc w:val="center"/>
      </w:pPr>
      <w:r>
        <w:t xml:space="preserve">表 6-4 技术文档交付清单</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60"/>
        <w:gridCol w:w="1660"/>
        <w:gridCol w:w="1660"/>
        <w:gridCol w:w="1660"/>
        <w:gridCol w:w="1660"/>
      </w:tblGrid>
      <w:tr>
        <w:tc>
          <w:tcPr>
            <w:tcW w:type="dxa" w:w="1660"/>
            <w:shd w:val="clear" w:color="auto" w:fill="F2F2F2"/>
          </w:tcPr>
          <w:p>
            <w:pPr>
              <w:jc w:val="center"/>
            </w:pPr>
            <w:r>
              <w:rPr>
                <w:b/>
              </w:rPr>
              <w:t>序号</w:t>
            </w:r>
          </w:p>
        </w:tc>
        <w:tc>
          <w:tcPr>
            <w:tcW w:type="dxa" w:w="1660"/>
            <w:shd w:val="clear" w:color="auto" w:fill="F2F2F2"/>
          </w:tcPr>
          <w:p>
            <w:pPr>
              <w:jc w:val="center"/>
            </w:pPr>
            <w:r>
              <w:rPr>
                <w:b/>
              </w:rPr>
              <w:t>实施阶段</w:t>
            </w:r>
          </w:p>
        </w:tc>
        <w:tc>
          <w:tcPr>
            <w:tcW w:type="dxa" w:w="1660"/>
            <w:shd w:val="clear" w:color="auto" w:fill="F2F2F2"/>
          </w:tcPr>
          <w:p>
            <w:pPr>
              <w:jc w:val="center"/>
            </w:pPr>
            <w:r>
              <w:rPr>
                <w:b/>
              </w:rPr>
              <w:t>交付文档</w:t>
            </w:r>
          </w:p>
        </w:tc>
        <w:tc>
          <w:tcPr>
            <w:tcW w:type="dxa" w:w="1660"/>
            <w:shd w:val="clear" w:color="auto" w:fill="F2F2F2"/>
          </w:tcPr>
          <w:p>
            <w:pPr>
              <w:jc w:val="center"/>
            </w:pPr>
            <w:r>
              <w:rPr>
                <w:b/>
              </w:rPr>
              <w:t>编写规范</w:t>
            </w:r>
          </w:p>
        </w:tc>
        <w:tc>
          <w:tcPr>
            <w:tcW w:type="dxa" w:w="1660"/>
            <w:shd w:val="clear" w:color="auto" w:fill="F2F2F2"/>
          </w:tcPr>
          <w:p>
            <w:pPr>
              <w:jc w:val="center"/>
            </w:pPr>
            <w:r>
              <w:rPr>
                <w:b/>
              </w:rPr>
              <w:t>评审确认要求</w:t>
            </w:r>
          </w:p>
        </w:tc>
      </w:tr>
      <w:tr>
        <w:tc>
          <w:tcPr>
            <w:tcW w:type="dxa" w:w="1660"/>
          </w:tcPr>
          <w:p>
            <w:r>
              <w:t>1</w:t>
            </w:r>
          </w:p>
        </w:tc>
        <w:tc>
          <w:tcPr>
            <w:tcW w:type="dxa" w:w="1660"/>
          </w:tcPr>
          <w:p>
            <w:r>
              <w:t>需求调研</w:t>
            </w:r>
          </w:p>
        </w:tc>
        <w:tc>
          <w:tcPr>
            <w:tcW w:type="dxa" w:w="1660"/>
          </w:tcPr>
          <w:p>
            <w:r>
              <w:t>需求规格说明书、调研纪要</w:t>
            </w:r>
          </w:p>
        </w:tc>
        <w:tc>
          <w:tcPr>
            <w:tcW w:type="dxa" w:w="1660"/>
          </w:tcPr>
          <w:p>
            <w:r>
              <w:t>GB/T 8567 计算机软件文档编制规范，及 GB/T 9385 计算机软件需求规格说明规范</w:t>
            </w:r>
          </w:p>
        </w:tc>
        <w:tc>
          <w:tcPr>
            <w:tcW w:type="dxa" w:w="1660"/>
          </w:tcPr>
          <w:p>
            <w:r>
              <w:t>提交采购人评审，评审确认后进入方案设计阶段</w:t>
            </w:r>
          </w:p>
        </w:tc>
      </w:tr>
      <w:tr>
        <w:tc>
          <w:tcPr>
            <w:tcW w:type="dxa" w:w="1660"/>
          </w:tcPr>
          <w:p>
            <w:r>
              <w:t>2</w:t>
            </w:r>
          </w:p>
        </w:tc>
        <w:tc>
          <w:tcPr>
            <w:tcW w:type="dxa" w:w="1660"/>
          </w:tcPr>
          <w:p>
            <w:r>
              <w:t>方案设计</w:t>
            </w:r>
          </w:p>
        </w:tc>
        <w:tc>
          <w:tcPr>
            <w:tcW w:type="dxa" w:w="1660"/>
          </w:tcPr>
          <w:p>
            <w:r>
              <w:t>系统/服务设计说明书、接口规范文档（UTF-8/GB-18030-2022 字符集约定、国密算法约定）</w:t>
            </w:r>
          </w:p>
        </w:tc>
        <w:tc>
          <w:tcPr>
            <w:tcW w:type="dxa" w:w="1660"/>
          </w:tcPr>
          <w:p>
            <w:r>
              <w:t>GB/T 8567 系列及 GB/T 9386 计算机软件测试文档编制规范</w:t>
            </w:r>
          </w:p>
        </w:tc>
        <w:tc>
          <w:tcPr>
            <w:tcW w:type="dxa" w:w="1660"/>
          </w:tcPr>
          <w:p>
            <w:r>
              <w:t>提交采购人评审确认</w:t>
            </w:r>
          </w:p>
        </w:tc>
      </w:tr>
      <w:tr>
        <w:tc>
          <w:tcPr>
            <w:tcW w:type="dxa" w:w="1660"/>
          </w:tcPr>
          <w:p>
            <w:r>
              <w:t>3</w:t>
            </w:r>
          </w:p>
        </w:tc>
        <w:tc>
          <w:tcPr>
            <w:tcW w:type="dxa" w:w="1660"/>
          </w:tcPr>
          <w:p>
            <w:r>
              <w:t>开发与测试</w:t>
            </w:r>
          </w:p>
        </w:tc>
        <w:tc>
          <w:tcPr>
            <w:tcW w:type="dxa" w:w="1660"/>
          </w:tcPr>
          <w:p>
            <w:r>
              <w:t>开发计划进度表、测试方案、测试报告（功能/性能/安全）</w:t>
            </w:r>
          </w:p>
        </w:tc>
        <w:tc>
          <w:tcPr>
            <w:tcW w:type="dxa" w:w="1660"/>
          </w:tcPr>
          <w:p>
            <w:r>
              <w:t>GB/T 8567、GB/T 9386</w:t>
            </w:r>
          </w:p>
        </w:tc>
        <w:tc>
          <w:tcPr>
            <w:tcW w:type="dxa" w:w="1660"/>
          </w:tcPr>
          <w:p>
            <w:r>
              <w:t>测试报告经采购人确认后进入部署阶段</w:t>
            </w:r>
          </w:p>
        </w:tc>
      </w:tr>
      <w:tr>
        <w:tc>
          <w:tcPr>
            <w:tcW w:type="dxa" w:w="1660"/>
          </w:tcPr>
          <w:p>
            <w:r>
              <w:t>4</w:t>
            </w:r>
          </w:p>
        </w:tc>
        <w:tc>
          <w:tcPr>
            <w:tcW w:type="dxa" w:w="1660"/>
          </w:tcPr>
          <w:p>
            <w:r>
              <w:t>部署上线</w:t>
            </w:r>
          </w:p>
        </w:tc>
        <w:tc>
          <w:tcPr>
            <w:tcW w:type="dxa" w:w="1660"/>
          </w:tcPr>
          <w:p>
            <w:r>
              <w:t>部署实施方案、上线切换方案、验收方案</w:t>
            </w:r>
          </w:p>
        </w:tc>
        <w:tc>
          <w:tcPr>
            <w:tcW w:type="dxa" w:w="1660"/>
          </w:tcPr>
          <w:p>
            <w:r>
              <w:t>GB/T 8567</w:t>
            </w:r>
          </w:p>
        </w:tc>
        <w:tc>
          <w:tcPr>
            <w:tcW w:type="dxa" w:w="1660"/>
          </w:tcPr>
          <w:p>
            <w:r>
              <w:t>方案评审通过后实施上线</w:t>
            </w:r>
          </w:p>
        </w:tc>
      </w:tr>
      <w:tr>
        <w:tc>
          <w:tcPr>
            <w:tcW w:type="dxa" w:w="1660"/>
          </w:tcPr>
          <w:p>
            <w:r>
              <w:t>5</w:t>
            </w:r>
          </w:p>
        </w:tc>
        <w:tc>
          <w:tcPr>
            <w:tcW w:type="dxa" w:w="1660"/>
          </w:tcPr>
          <w:p>
            <w:r>
              <w:t>试运行</w:t>
            </w:r>
          </w:p>
        </w:tc>
        <w:tc>
          <w:tcPr>
            <w:tcW w:type="dxa" w:w="1660"/>
          </w:tcPr>
          <w:p>
            <w:r>
              <w:t>用户使用手册、运维操作手册</w:t>
            </w:r>
          </w:p>
        </w:tc>
        <w:tc>
          <w:tcPr>
            <w:tcW w:type="dxa" w:w="1660"/>
          </w:tcPr>
          <w:p>
            <w:r>
              <w:t>GB/T 8567</w:t>
            </w:r>
          </w:p>
        </w:tc>
        <w:tc>
          <w:tcPr>
            <w:tcW w:type="dxa" w:w="1660"/>
          </w:tcPr>
          <w:p>
            <w:r>
              <w:t>与培训资料一并提供采购人确认</w:t>
            </w:r>
          </w:p>
        </w:tc>
      </w:tr>
      <w:tr>
        <w:tc>
          <w:tcPr>
            <w:tcW w:type="dxa" w:w="1660"/>
          </w:tcPr>
          <w:p>
            <w:r>
              <w:t>6</w:t>
            </w:r>
          </w:p>
        </w:tc>
        <w:tc>
          <w:tcPr>
            <w:tcW w:type="dxa" w:w="1660"/>
          </w:tcPr>
          <w:p>
            <w:r>
              <w:t>验收</w:t>
            </w:r>
          </w:p>
        </w:tc>
        <w:tc>
          <w:tcPr>
            <w:tcW w:type="dxa" w:w="1660"/>
          </w:tcPr>
          <w:p>
            <w:r>
              <w:t>项目验收报告、终版文档汇编</w:t>
            </w:r>
          </w:p>
        </w:tc>
        <w:tc>
          <w:tcPr>
            <w:tcW w:type="dxa" w:w="1660"/>
          </w:tcPr>
          <w:p>
            <w:r>
              <w:t>按采购人验收文档要求</w:t>
            </w:r>
          </w:p>
        </w:tc>
        <w:tc>
          <w:tcPr>
            <w:tcW w:type="dxa" w:w="1660"/>
          </w:tcPr>
          <w:p>
            <w:r>
              <w:t>作为合同验收依据</w:t>
            </w:r>
          </w:p>
        </w:tc>
      </w:tr>
    </w:tbl>
    <w:p>
      <w:pPr>
        <w:pStyle w:val="TenderBody"/>
      </w:pPr>
      <w:r>
        <w:t>文档管理执行两项纪律：其一，版本管理——每份文档设版本号与变更记录，评审意见逐条回复并归档；其二，保密管理——按采购项目需求 5.22 条要求，我方不将采购人向我方提供的相关信息提供给其他任何一方、不在本地数据库留存或做任何用途，文档中涉及采购人信息的内容随文档评审流转、不留存副本，并配合采购人必要且合理的内外部审计机构检查及银行业监管机构检查。</w:t>
      </w:r>
    </w:p>
    <w:p>
      <w:pPr>
        <w:pStyle w:val="Heading3"/>
        <w:outlineLvl w:val="9"/>
        <w:rPr/>
      </w:pPr>
      <w:r>
        <w:t xml:space="preserve">6.12.1 培训安排</w:t>
      </w:r>
    </w:p>
    <w:p>
      <w:pPr>
        <w:pStyle w:val="TenderBody"/>
      </w:pPr>
      <w:r>
        <w:t>按采购项目需求 5.19 条要求，我方提供产品使用、系统运维、数据解读、风险合规四类培训，安排在系统上线前后及合同期内分期开展，如下表：</w:t>
      </w:r>
    </w:p>
    <w:p>
      <w:pPr>
        <w:pStyle w:val="TenderCaption"/>
        <w:jc w:val="center"/>
      </w:pPr>
      <w:r>
        <w:t xml:space="preserve">表 6-5 培训计划</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60"/>
        <w:gridCol w:w="1660"/>
        <w:gridCol w:w="1660"/>
        <w:gridCol w:w="1660"/>
        <w:gridCol w:w="1660"/>
      </w:tblGrid>
      <w:tr>
        <w:tc>
          <w:tcPr>
            <w:tcW w:type="dxa" w:w="1660"/>
            <w:shd w:val="clear" w:color="auto" w:fill="F2F2F2"/>
          </w:tcPr>
          <w:p>
            <w:pPr>
              <w:jc w:val="center"/>
            </w:pPr>
            <w:r>
              <w:rPr>
                <w:b/>
              </w:rPr>
              <w:t>场次</w:t>
            </w:r>
          </w:p>
        </w:tc>
        <w:tc>
          <w:tcPr>
            <w:tcW w:type="dxa" w:w="1660"/>
            <w:shd w:val="clear" w:color="auto" w:fill="F2F2F2"/>
          </w:tcPr>
          <w:p>
            <w:pPr>
              <w:jc w:val="center"/>
            </w:pPr>
            <w:r>
              <w:rPr>
                <w:b/>
              </w:rPr>
              <w:t>培训主题</w:t>
            </w:r>
          </w:p>
        </w:tc>
        <w:tc>
          <w:tcPr>
            <w:tcW w:type="dxa" w:w="1660"/>
            <w:shd w:val="clear" w:color="auto" w:fill="F2F2F2"/>
          </w:tcPr>
          <w:p>
            <w:pPr>
              <w:jc w:val="center"/>
            </w:pPr>
            <w:r>
              <w:rPr>
                <w:b/>
              </w:rPr>
              <w:t>培训对象</w:t>
            </w:r>
          </w:p>
        </w:tc>
        <w:tc>
          <w:tcPr>
            <w:tcW w:type="dxa" w:w="1660"/>
            <w:shd w:val="clear" w:color="auto" w:fill="F2F2F2"/>
          </w:tcPr>
          <w:p>
            <w:pPr>
              <w:jc w:val="center"/>
            </w:pPr>
            <w:r>
              <w:rPr>
                <w:b/>
              </w:rPr>
              <w:t>形式</w:t>
            </w:r>
          </w:p>
        </w:tc>
        <w:tc>
          <w:tcPr>
            <w:tcW w:type="dxa" w:w="1660"/>
            <w:shd w:val="clear" w:color="auto" w:fill="F2F2F2"/>
          </w:tcPr>
          <w:p>
            <w:pPr>
              <w:jc w:val="center"/>
            </w:pPr>
            <w:r>
              <w:rPr>
                <w:b/>
              </w:rPr>
              <w:t>内容要点</w:t>
            </w:r>
          </w:p>
        </w:tc>
      </w:tr>
      <w:tr>
        <w:tc>
          <w:tcPr>
            <w:tcW w:type="dxa" w:w="1660"/>
          </w:tcPr>
          <w:p>
            <w:r>
              <w:t>第1场</w:t>
            </w:r>
          </w:p>
        </w:tc>
        <w:tc>
          <w:tcPr>
            <w:tcW w:type="dxa" w:w="1660"/>
          </w:tcPr>
          <w:p>
            <w:r>
              <w:t>产品使用</w:t>
            </w:r>
          </w:p>
        </w:tc>
        <w:tc>
          <w:tcPr>
            <w:tcW w:type="dxa" w:w="1660"/>
          </w:tcPr>
          <w:p>
            <w:r>
              <w:t>业务条线操作人员</w:t>
            </w:r>
          </w:p>
        </w:tc>
        <w:tc>
          <w:tcPr>
            <w:tcW w:type="dxa" w:w="1660"/>
          </w:tcPr>
          <w:p>
            <w:r>
              <w:t>现场+录播回放</w:t>
            </w:r>
          </w:p>
        </w:tc>
        <w:tc>
          <w:tcPr>
            <w:tcW w:type="dxa" w:w="1660"/>
          </w:tcPr>
          <w:p>
            <w:r>
              <w:t>外部数据服务的使用流程、查询操作、结果读取与引用方法</w:t>
            </w:r>
          </w:p>
        </w:tc>
      </w:tr>
      <w:tr>
        <w:tc>
          <w:tcPr>
            <w:tcW w:type="dxa" w:w="1660"/>
          </w:tcPr>
          <w:p>
            <w:r>
              <w:t>第2场</w:t>
            </w:r>
          </w:p>
        </w:tc>
        <w:tc>
          <w:tcPr>
            <w:tcW w:type="dxa" w:w="1660"/>
          </w:tcPr>
          <w:p>
            <w:r>
              <w:t>系统运维</w:t>
            </w:r>
          </w:p>
        </w:tc>
        <w:tc>
          <w:tcPr>
            <w:tcW w:type="dxa" w:w="1660"/>
          </w:tcPr>
          <w:p>
            <w:r>
              <w:t>技术运维人员</w:t>
            </w:r>
          </w:p>
        </w:tc>
        <w:tc>
          <w:tcPr>
            <w:tcW w:type="dxa" w:w="1660"/>
          </w:tcPr>
          <w:p>
            <w:r>
              <w:t>现场</w:t>
            </w:r>
          </w:p>
        </w:tc>
        <w:tc>
          <w:tcPr>
            <w:tcW w:type="dxa" w:w="1660"/>
          </w:tcPr>
          <w:p>
            <w:r>
              <w:t>双服务器热备架构说明、监控告警查看、常见故障处置流程</w:t>
            </w:r>
          </w:p>
        </w:tc>
      </w:tr>
      <w:tr>
        <w:tc>
          <w:tcPr>
            <w:tcW w:type="dxa" w:w="1660"/>
          </w:tcPr>
          <w:p>
            <w:r>
              <w:t>第3场</w:t>
            </w:r>
          </w:p>
        </w:tc>
        <w:tc>
          <w:tcPr>
            <w:tcW w:type="dxa" w:w="1660"/>
          </w:tcPr>
          <w:p>
            <w:r>
              <w:t>数据解读</w:t>
            </w:r>
          </w:p>
        </w:tc>
        <w:tc>
          <w:tcPr>
            <w:tcW w:type="dxa" w:w="1660"/>
          </w:tcPr>
          <w:p>
            <w:r>
              <w:t>业务分析与模型人员</w:t>
            </w:r>
          </w:p>
        </w:tc>
        <w:tc>
          <w:tcPr>
            <w:tcW w:type="dxa" w:w="1660"/>
          </w:tcPr>
          <w:p>
            <w:r>
              <w:t>现场</w:t>
            </w:r>
          </w:p>
        </w:tc>
        <w:tc>
          <w:tcPr>
            <w:tcW w:type="dxa" w:w="1660"/>
          </w:tcPr>
          <w:p>
            <w:r>
              <w:t>数据口径说明、质量校验规则、异动预警的解读与使用</w:t>
            </w:r>
          </w:p>
        </w:tc>
      </w:tr>
      <w:tr>
        <w:tc>
          <w:tcPr>
            <w:tcW w:type="dxa" w:w="1660"/>
          </w:tcPr>
          <w:p>
            <w:r>
              <w:t>第4场</w:t>
            </w:r>
          </w:p>
        </w:tc>
        <w:tc>
          <w:tcPr>
            <w:tcW w:type="dxa" w:w="1660"/>
          </w:tcPr>
          <w:p>
            <w:r>
              <w:t>风险合规</w:t>
            </w:r>
          </w:p>
        </w:tc>
        <w:tc>
          <w:tcPr>
            <w:tcW w:type="dxa" w:w="1660"/>
          </w:tcPr>
          <w:p>
            <w:r>
              <w:t>合规与风控条线</w:t>
            </w:r>
          </w:p>
        </w:tc>
        <w:tc>
          <w:tcPr>
            <w:tcW w:type="dxa" w:w="1660"/>
          </w:tcPr>
          <w:p>
            <w:r>
              <w:t>现场</w:t>
            </w:r>
          </w:p>
        </w:tc>
        <w:tc>
          <w:tcPr>
            <w:tcW w:type="dxa" w:w="1660"/>
          </w:tcPr>
          <w:p>
            <w:r>
              <w:t>个人隐私信息采集合规边界、监管处罚案例通报、保密与审计配合要求</w:t>
            </w:r>
          </w:p>
        </w:tc>
      </w:tr>
    </w:tbl>
    <w:p>
      <w:pPr>
        <w:pStyle w:val="TenderBody"/>
      </w:pPr>
      <w:r>
        <w:t>每场培训配套培训资料（课件、操作手册摘录），经采购人确认后发放；合同期内如产品升级或监管要求变化，我方提供补充培训，确保采购人相关人员持续具备使用与合规管理能力。</w:t>
      </w:r>
    </w:p>
    <w:p>
      <w:pPr>
        <w:pStyle w:val="Heading1"/>
        <w:pageBreakBefore/>
      </w:pPr>
      <w:r>
        <w:t>7 资格证明文件</w:t>
      </w:r>
    </w:p>
    <w:p>
      <w:pPr>
        <w:pStyle w:val="Heading2"/>
      </w:pPr>
      <w:r>
        <w:t>7.1 法人或其他组织证明材料（格式7-1）</w:t>
      </w:r>
    </w:p>
    <w:p w14:paraId="54B36D59">
      <w:pPr>
        <w:pStyle w:val="11"/>
        <w:spacing w:before="0" w:after="0" w:line="560" w:lineRule="exact"/>
        <w:jc w:val="center"/>
        <w:outlineLvl w:val="9"/>
        <w:rPr>
          <w:rFonts w:hint="eastAsia" w:ascii="仿宋" w:hAnsi="仿宋" w:eastAsia="仿宋" w:cs="仿宋"/>
          <w:b/>
          <w:color w:val="auto"/>
          <w:kern w:val="0"/>
          <w:sz w:val="32"/>
          <w:szCs w:val="32"/>
          <w:highlight w:val="none"/>
        </w:rPr>
      </w:pPr>
      <w:r>
        <w:rPr>
          <w:rFonts w:hint="eastAsia" w:ascii="仿宋" w:hAnsi="仿宋" w:eastAsia="仿宋" w:cs="仿宋"/>
          <w:color w:val="auto"/>
          <w:sz w:val="27"/>
          <w:szCs w:val="27"/>
          <w:highlight w:val="none"/>
        </w:rPr>
        <w:br w:type="page"/>
      </w:r>
      <w:r>
        <w:rPr>
          <w:rFonts w:hint="eastAsia" w:ascii="仿宋" w:hAnsi="仿宋" w:eastAsia="仿宋" w:cs="仿宋"/>
          <w:b/>
          <w:color w:val="auto"/>
          <w:kern w:val="0"/>
          <w:sz w:val="32"/>
          <w:szCs w:val="32"/>
          <w:highlight w:val="none"/>
        </w:rPr>
        <w:t>7-1具有独立承担民事责任能力的法人或其他组织或自然人的证明材料</w:t>
      </w:r>
    </w:p>
    <w:p w14:paraId="3F4E8EC9">
      <w:pPr>
        <w:spacing w:line="360" w:lineRule="auto"/>
        <w:jc w:val="center"/>
        <w:rPr>
          <w:rFonts w:hint="eastAsia" w:ascii="仿宋" w:hAnsi="仿宋" w:eastAsia="仿宋" w:cs="仿宋"/>
          <w:color w:val="auto"/>
          <w:highlight w:val="none"/>
        </w:rPr>
      </w:pPr>
    </w:p>
    <w:p w14:paraId="2C3F2159">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说明：</w:t>
      </w:r>
    </w:p>
    <w:p w14:paraId="7816C795">
      <w:pPr>
        <w:spacing w:line="360" w:lineRule="auto"/>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1、如投标供应商的营业执照、税务登记证和组织机构代码证为三证合一的，则只需提供三证合一证件[复印件并加盖投标供应商公章]；如投标供应商的营业执照、税务登记证、组织机构代码证、社会保险登记证、统计登记证为五证合一的，则只需提供五证合一证件[扫描件并加盖投标供应商公章]。</w:t>
      </w:r>
    </w:p>
    <w:p w14:paraId="4DF357B0">
      <w:pPr>
        <w:spacing w:line="360" w:lineRule="auto"/>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2、营业执照副本说明：</w:t>
      </w:r>
    </w:p>
    <w:p w14:paraId="3FBA27C6">
      <w:pPr>
        <w:spacing w:line="360" w:lineRule="auto"/>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（1）必须在有效期内；</w:t>
      </w:r>
    </w:p>
    <w:p w14:paraId="0B46D8E0">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（2）自然人参加的，提供自然人的身份证明。</w:t>
      </w:r>
    </w:p>
    <w:p w14:paraId="7B82160F">
      <w:pPr>
        <w:spacing w:line="360" w:lineRule="auto"/>
        <w:jc w:val="left"/>
        <w:rPr>
          <w:rStyle w:val="76"/>
          <w:rFonts w:hint="eastAsia" w:ascii="仿宋" w:hAnsi="仿宋" w:eastAsia="仿宋" w:cs="仿宋"/>
          <w:bCs/>
          <w:color w:val="auto"/>
          <w:highlight w:val="none"/>
        </w:rPr>
      </w:pPr>
    </w:p>
    <w:p>
      <w:pPr>
        <w:pStyle w:val="TenderBody"/>
        <w:rPr/>
      </w:pPr>
      <w:r>
        <w:t xml:space="preserve">（此处贴入：投标供应商五证合一营业执照副本复印件，加盖投标供应商公章）</w:t>
      </w:r>
      <w:commentRangeStart w:id="13"/>
      <w:r/>
      <w:commentRangeEnd w:id="13"/>
      <w:r>
        <w:rPr>
          <w:rStyle w:val="CommentReference"/>
        </w:rPr>
        <w:commentReference w:id="13"/>
      </w:r>
    </w:p>
    <w:p>
      <w:pPr>
        <w:pStyle w:val="Heading2"/>
      </w:pPr>
      <w:r>
        <w:t>7.2 供应商资格信用承诺函（格式7-2）</w:t>
      </w:r>
    </w:p>
    <w:p w14:paraId="5BDDD5B4">
      <w:pPr>
        <w:pStyle w:val="12"/>
        <w:spacing w:before="0" w:after="0" w:line="560" w:lineRule="exact"/>
        <w:jc w:val="center"/>
        <w:outlineLvl w:val="9"/>
        <w:rPr>
          <w:rFonts w:hint="eastAsia" w:ascii="仿宋" w:hAnsi="仿宋" w:eastAsia="仿宋" w:cs="仿宋"/>
          <w:b/>
          <w:color w:val="auto"/>
          <w:kern w:val="0"/>
          <w:sz w:val="32"/>
          <w:szCs w:val="32"/>
          <w:highlight w:val="none"/>
        </w:rPr>
      </w:pPr>
      <w:r>
        <w:rPr>
          <w:rFonts w:hint="eastAsia" w:ascii="仿宋" w:hAnsi="仿宋" w:eastAsia="仿宋" w:cs="仿宋"/>
          <w:color w:val="auto"/>
          <w:highlight w:val="none"/>
        </w:rPr>
        <w:br w:type="page"/>
      </w:r>
      <w:bookmarkEnd w:id="166"/>
      <w:bookmarkEnd w:id="167"/>
      <w:r>
        <w:rPr>
          <w:rFonts w:hint="eastAsia" w:ascii="仿宋" w:hAnsi="仿宋" w:eastAsia="仿宋" w:cs="仿宋"/>
          <w:b/>
          <w:color w:val="auto"/>
          <w:kern w:val="0"/>
          <w:sz w:val="32"/>
          <w:szCs w:val="32"/>
          <w:highlight w:val="none"/>
        </w:rPr>
        <w:t>7-2供应商资格信用承诺</w:t>
      </w:r>
    </w:p>
    <w:p w14:paraId="22B27E88">
      <w:pPr>
        <w:spacing w:line="460" w:lineRule="exact"/>
        <w:ind w:firstLine="562" w:firstLineChars="200"/>
        <w:jc w:val="center"/>
        <w:rPr>
          <w:rFonts w:hint="eastAsia" w:ascii="仿宋" w:hAnsi="仿宋" w:eastAsia="仿宋" w:cs="仿宋"/>
          <w:b/>
          <w:color w:val="auto"/>
          <w:sz w:val="28"/>
          <w:szCs w:val="28"/>
          <w:highlight w:val="none"/>
        </w:rPr>
      </w:pPr>
      <w:r>
        <w:rPr>
          <w:rFonts w:hint="eastAsia" w:ascii="仿宋" w:hAnsi="仿宋" w:eastAsia="仿宋" w:cs="仿宋"/>
          <w:b/>
          <w:color w:val="auto"/>
          <w:sz w:val="28"/>
          <w:szCs w:val="28"/>
          <w:highlight w:val="none"/>
        </w:rPr>
        <w:t>供应商的资格信用承诺函</w:t>
      </w:r>
    </w:p>
    <w:p w14:paraId="0C3B6F77">
      <w:pPr>
        <w:spacing w:line="460" w:lineRule="exact"/>
        <w:ind w:firstLine="562" w:firstLineChars="200"/>
        <w:rPr>
          <w:rFonts w:hint="eastAsia" w:ascii="仿宋" w:hAnsi="仿宋" w:eastAsia="仿宋" w:cs="仿宋"/>
          <w:b/>
          <w:color w:val="auto"/>
          <w:sz w:val="28"/>
          <w:szCs w:val="28"/>
          <w:highlight w:val="none"/>
        </w:rPr>
      </w:pPr>
    </w:p>
    <w:p w14:paraId="19127DA6">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 xml:space="preserve">致(采购人或政府采购代理机构)：赣州银行股份有限公司</w:t>
      </w:r>
    </w:p>
    <w:p w14:paraId="7A3A5B31">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 xml:space="preserve">单位名称(自然人姓名)：杭州研数科技有限公司（验收演示）</w:t>
      </w:r>
    </w:p>
    <w:p w14:paraId="632CFE12">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 xml:space="preserve">统一社会信用代码(身份证号码)：DEMO-ONLY-20261012</w:t>
      </w:r>
    </w:p>
    <w:p w14:paraId="43EDE3BC">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 xml:space="preserve">法定代表人(负责人)：陈演示</w:t>
      </w:r>
    </w:p>
    <w:p w14:paraId="17551026">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 xml:space="preserve">联系地址和电话：杭州市滨江区演示路100号（验收演示）　0571-00000000（验收演示）</w:t>
      </w:r>
    </w:p>
    <w:p w14:paraId="2F06B9A3">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我单位(本人)自愿参加本次政府采购活动，严格遵守《中华人民共和国政府采购法》及相关法律法规，坚守公开、公平、公正和诚实信用等原则，依法诚信经营，并郑重承诺：</w:t>
      </w:r>
    </w:p>
    <w:p w14:paraId="417BAE73">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(一)我单位(本人)符合采购文件要求以及《中华人民共和国政府采购法》第二十二条规定的条件：</w:t>
      </w:r>
    </w:p>
    <w:p w14:paraId="25068635">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1.具有独立承担民事责任的能力；</w:t>
      </w:r>
    </w:p>
    <w:p w14:paraId="31391EC0">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 xml:space="preserve">2.具有良好的商业信誉和健全的财务会计制度； </w:t>
      </w:r>
    </w:p>
    <w:p w14:paraId="09E2C361">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3.具有履行合同所必需的设备和专业技术能力；</w:t>
      </w:r>
    </w:p>
    <w:p w14:paraId="385C1A9B">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4.有依法缴纳税收和社会保障资金的良好记录；</w:t>
      </w:r>
    </w:p>
    <w:p w14:paraId="3F611553">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5.参加政府采购活动前三年内，在经营活动中没有重大违法记录；</w:t>
      </w:r>
    </w:p>
    <w:p w14:paraId="5CD6A800">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6.符合法律、行政法规规定的其他条件。</w:t>
      </w:r>
    </w:p>
    <w:p w14:paraId="0FC86CA7">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(二)我单位(本人)未被列入严重失信主体名单、失信被执行人、税收违法黑名单、政府采购严重违法失信行为记录名单。</w:t>
      </w:r>
    </w:p>
    <w:p w14:paraId="1F235276">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我单位(本人)对本承诺函及所承诺事项的真实性、合法性及有效性负责，并已知晓如所作信用承诺不实，可能涉嫌《中华人民共和国政府采购法》第七十七条第一款第(一)项规定的 “提供虚假材料谋取中标、成交”违法情形。经调查属实的， 自觉接受政府采购行政监管部门按照《中华人民共和国政府采 购法》第七十七条：“处以采购金额千分之五以上千分之十以下 的罚款，列入不良行为记录名单，在一至三年内禁止参加政府采购活动，有违法所得的，并处没收违法所得，情节严重的，由市场监管部门吊销营业执照；构成犯罪的，依法追究刑事责任。”处理。</w:t>
      </w:r>
    </w:p>
    <w:p w14:paraId="10834177">
      <w:pPr>
        <w:spacing w:line="460" w:lineRule="exact"/>
        <w:ind w:firstLine="560" w:firstLineChars="200"/>
        <w:rPr>
          <w:rFonts w:hint="eastAsia" w:ascii="仿宋" w:hAnsi="仿宋" w:eastAsia="仿宋" w:cs="仿宋"/>
          <w:bCs/>
          <w:color w:val="auto"/>
          <w:sz w:val="28"/>
          <w:szCs w:val="28"/>
          <w:highlight w:val="none"/>
        </w:rPr>
      </w:pPr>
    </w:p>
    <w:p w14:paraId="56E08679">
      <w:pPr>
        <w:spacing w:line="460" w:lineRule="exact"/>
        <w:ind w:firstLine="560" w:firstLineChars="200"/>
        <w:rPr>
          <w:rFonts w:hint="eastAsia" w:ascii="仿宋" w:hAnsi="仿宋" w:eastAsia="仿宋" w:cs="仿宋"/>
          <w:bCs/>
          <w:color w:val="auto"/>
          <w:sz w:val="28"/>
          <w:szCs w:val="28"/>
          <w:highlight w:val="none"/>
        </w:rPr>
      </w:pPr>
    </w:p>
    <w:p w14:paraId="42CA17DA">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lang w:eastAsia="zh-CN"/>
        </w:rPr>
        <w:t xml:space="preserve">投标供应商名称(单位公章)：杭州研数科技有限公司（验收演示）</w:t>
      </w:r>
    </w:p>
    <w:p w14:paraId="01A9E101">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 xml:space="preserve">或自然人(签字)：陈演示</w:t>
      </w:r>
    </w:p>
    <w:p w14:paraId="2E2DA6F3">
      <w:pPr>
        <w:spacing w:line="460" w:lineRule="exact"/>
        <w:ind w:firstLine="560" w:firstLineChars="200"/>
        <w:rPr>
          <w:rFonts w:hint="eastAsia" w:ascii="仿宋" w:hAnsi="仿宋" w:eastAsia="仿宋" w:cs="仿宋"/>
          <w:bCs/>
          <w:color w:val="auto"/>
          <w:sz w:val="28"/>
          <w:szCs w:val="28"/>
          <w:highlight w:val="none"/>
        </w:rPr>
      </w:pPr>
      <w:r>
        <w:rPr>
          <w:rFonts w:hint="eastAsia" w:ascii="仿宋" w:hAnsi="仿宋" w:eastAsia="仿宋" w:cs="仿宋"/>
          <w:bCs/>
          <w:color w:val="auto"/>
          <w:sz w:val="28"/>
          <w:szCs w:val="28"/>
          <w:highlight w:val="none"/>
        </w:rPr>
        <w:t xml:space="preserve">2026年8月19日</w:t>
      </w:r>
    </w:p>
    <w:p w14:paraId="1873FDA0">
      <w:pPr>
        <w:spacing w:line="460" w:lineRule="exact"/>
        <w:ind w:firstLine="560" w:firstLineChars="200"/>
        <w:rPr>
          <w:rFonts w:hint="eastAsia" w:ascii="仿宋" w:hAnsi="仿宋" w:eastAsia="仿宋" w:cs="仿宋"/>
          <w:bCs/>
          <w:color w:val="auto"/>
          <w:sz w:val="28"/>
          <w:szCs w:val="28"/>
          <w:highlight w:val="none"/>
        </w:rPr>
      </w:pPr>
    </w:p>
    <w:p w14:paraId="7CCD984A">
      <w:pPr>
        <w:spacing w:line="460" w:lineRule="exact"/>
        <w:ind w:firstLine="560" w:firstLineChars="200"/>
        <w:rPr>
          <w:rFonts w:hint="eastAsia" w:ascii="仿宋" w:hAnsi="仿宋" w:eastAsia="仿宋" w:cs="仿宋"/>
          <w:bCs/>
          <w:color w:val="auto"/>
          <w:sz w:val="28"/>
          <w:szCs w:val="28"/>
          <w:highlight w:val="none"/>
        </w:rPr>
      </w:pPr>
    </w:p>
    <w:p w14:paraId="0A621798">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bCs/>
          <w:color w:val="auto"/>
          <w:sz w:val="28"/>
          <w:szCs w:val="28"/>
          <w:highlight w:val="none"/>
        </w:rPr>
        <w:t>注： 1.我单位(本人)专指参加政府采购活动的</w:t>
      </w:r>
      <w:r>
        <w:rPr>
          <w:rFonts w:hint="eastAsia" w:ascii="仿宋" w:hAnsi="仿宋" w:eastAsia="仿宋" w:cs="仿宋"/>
          <w:bCs/>
          <w:color w:val="auto"/>
          <w:sz w:val="28"/>
          <w:szCs w:val="28"/>
          <w:highlight w:val="none"/>
          <w:lang w:eastAsia="zh-CN"/>
        </w:rPr>
        <w:t>投标供应商</w:t>
      </w:r>
      <w:r>
        <w:rPr>
          <w:rFonts w:hint="eastAsia" w:ascii="仿宋" w:hAnsi="仿宋" w:eastAsia="仿宋" w:cs="仿宋"/>
          <w:bCs/>
          <w:color w:val="auto"/>
          <w:sz w:val="28"/>
          <w:szCs w:val="28"/>
          <w:highlight w:val="none"/>
        </w:rPr>
        <w:t>(含自然人)。2.</w:t>
      </w:r>
      <w:r>
        <w:rPr>
          <w:rFonts w:hint="eastAsia" w:ascii="仿宋" w:hAnsi="仿宋" w:eastAsia="仿宋" w:cs="仿宋"/>
          <w:bCs/>
          <w:color w:val="auto"/>
          <w:sz w:val="28"/>
          <w:szCs w:val="28"/>
          <w:highlight w:val="none"/>
          <w:lang w:eastAsia="zh-CN"/>
        </w:rPr>
        <w:t>投标供应商</w:t>
      </w:r>
      <w:r>
        <w:rPr>
          <w:rFonts w:hint="eastAsia" w:ascii="仿宋" w:hAnsi="仿宋" w:eastAsia="仿宋" w:cs="仿宋"/>
          <w:bCs/>
          <w:color w:val="auto"/>
          <w:sz w:val="28"/>
          <w:szCs w:val="28"/>
          <w:highlight w:val="none"/>
        </w:rPr>
        <w:t>须在投标文件中按此模板提供承诺函，既未提供前述承诺函又未提供对应事项证明材料的，视为未实质响应招标文件要求，按无效投标处理。</w:t>
      </w:r>
    </w:p>
    <w:p w14:paraId="7ADB9169">
      <w:pPr>
        <w:adjustRightInd w:val="0"/>
        <w:snapToGrid w:val="0"/>
        <w:spacing w:line="360" w:lineRule="auto"/>
        <w:ind w:firstLine="560" w:firstLineChars="200"/>
        <w:jc w:val="left"/>
        <w:rPr>
          <w:rFonts w:hint="eastAsia" w:ascii="仿宋" w:hAnsi="仿宋" w:eastAsia="仿宋" w:cs="仿宋"/>
          <w:color w:val="auto"/>
          <w:sz w:val="28"/>
          <w:szCs w:val="28"/>
          <w:highlight w:val="none"/>
        </w:rPr>
      </w:pPr>
    </w:p>
    <w:p w14:paraId="05ECC567">
      <w:pPr>
        <w:spacing w:line="360" w:lineRule="auto"/>
        <w:jc w:val="left"/>
        <w:rPr>
          <w:rFonts w:hint="eastAsia" w:ascii="仿宋" w:hAnsi="仿宋" w:eastAsia="仿宋" w:cs="仿宋"/>
          <w:color w:val="auto"/>
          <w:sz w:val="27"/>
          <w:szCs w:val="27"/>
          <w:highlight w:val="none"/>
        </w:rPr>
      </w:pPr>
    </w:p>
    <w:p>
      <w:pPr>
        <w:pStyle w:val="Heading2"/>
      </w:pPr>
      <w:r>
        <w:t>7.3 特定资格要求证明材料（格式7-3）</w:t>
      </w:r>
    </w:p>
    <w:p w14:paraId="72D2CF81">
      <w:pPr>
        <w:pStyle w:val="13"/>
        <w:spacing w:before="0" w:after="0" w:line="560" w:lineRule="exact"/>
        <w:jc w:val="center"/>
        <w:outlineLvl w:val="9"/>
        <w:rPr>
          <w:rFonts w:hint="eastAsia" w:ascii="仿宋" w:hAnsi="仿宋" w:eastAsia="仿宋" w:cs="仿宋"/>
          <w:b/>
          <w:color w:val="auto"/>
          <w:kern w:val="0"/>
          <w:sz w:val="32"/>
          <w:szCs w:val="32"/>
          <w:highlight w:val="none"/>
        </w:rPr>
      </w:pPr>
      <w:r>
        <w:rPr>
          <w:rFonts w:hint="eastAsia" w:ascii="仿宋" w:hAnsi="仿宋" w:eastAsia="仿宋" w:cs="仿宋"/>
          <w:b/>
          <w:color w:val="auto"/>
          <w:kern w:val="0"/>
          <w:highlight w:val="none"/>
        </w:rPr>
        <w:br w:type="page"/>
      </w:r>
      <w:r>
        <w:rPr>
          <w:rFonts w:hint="eastAsia" w:ascii="仿宋" w:hAnsi="仿宋" w:eastAsia="仿宋" w:cs="仿宋"/>
          <w:b/>
          <w:color w:val="auto"/>
          <w:kern w:val="0"/>
          <w:sz w:val="32"/>
          <w:szCs w:val="32"/>
          <w:highlight w:val="none"/>
        </w:rPr>
        <w:t>7-</w:t>
      </w:r>
      <w:r>
        <w:rPr>
          <w:rFonts w:hint="eastAsia" w:ascii="仿宋" w:hAnsi="仿宋" w:eastAsia="仿宋" w:cs="仿宋"/>
          <w:b/>
          <w:color w:val="auto"/>
          <w:kern w:val="0"/>
          <w:sz w:val="32"/>
          <w:szCs w:val="32"/>
          <w:highlight w:val="none"/>
        </w:rPr>
        <w:t>3特定资格要求证明材料</w:t>
      </w:r>
    </w:p>
    <w:p w14:paraId="29D31595">
      <w:pPr>
        <w:widowControl/>
        <w:spacing w:line="360" w:lineRule="auto"/>
        <w:rPr>
          <w:rFonts w:hint="eastAsia" w:ascii="仿宋" w:hAnsi="仿宋" w:eastAsia="仿宋" w:cs="仿宋"/>
          <w:color w:val="auto"/>
          <w:sz w:val="28"/>
          <w:szCs w:val="28"/>
          <w:highlight w:val="none"/>
        </w:rPr>
      </w:pPr>
    </w:p>
    <w:p w14:paraId="73D578BA">
      <w:pPr>
        <w:widowControl/>
        <w:spacing w:line="360" w:lineRule="auto"/>
        <w:ind w:firstLine="560" w:firstLineChars="200"/>
        <w:rPr>
          <w:rFonts w:hint="eastAsia" w:ascii="仿宋" w:hAnsi="仿宋" w:eastAsia="仿宋" w:cs="仿宋"/>
          <w:highlight w:val="none"/>
          <w:lang w:val="en-US"/>
        </w:rPr>
      </w:pPr>
      <w:r>
        <w:rPr>
          <w:rFonts w:hint="eastAsia" w:ascii="仿宋" w:hAnsi="仿宋" w:eastAsia="仿宋" w:cs="仿宋"/>
          <w:bCs/>
          <w:color w:val="auto"/>
          <w:sz w:val="28"/>
          <w:szCs w:val="28"/>
          <w:highlight w:val="none"/>
          <w:lang w:eastAsia="zh-CN"/>
        </w:rPr>
        <w:t>投标供应商近</w:t>
      </w:r>
      <w:r>
        <w:rPr>
          <w:rFonts w:hint="eastAsia" w:ascii="仿宋" w:hAnsi="仿宋" w:eastAsia="仿宋" w:cs="仿宋"/>
          <w:bCs/>
          <w:color w:val="auto"/>
          <w:sz w:val="28"/>
          <w:szCs w:val="28"/>
          <w:highlight w:val="none"/>
          <w:lang w:val="en-US" w:eastAsia="zh-CN"/>
        </w:rPr>
        <w:t>3年内</w:t>
      </w:r>
      <w:r>
        <w:rPr>
          <w:rFonts w:hint="eastAsia" w:ascii="仿宋" w:hAnsi="仿宋" w:eastAsia="仿宋" w:cs="仿宋"/>
          <w:bCs/>
          <w:color w:val="auto"/>
          <w:sz w:val="28"/>
          <w:szCs w:val="28"/>
          <w:highlight w:val="none"/>
          <w:lang w:eastAsia="zh-CN"/>
        </w:rPr>
        <w:t>（以合同签订日期为准，</w:t>
      </w:r>
      <w:r>
        <w:rPr>
          <w:rFonts w:hint="eastAsia" w:ascii="仿宋" w:hAnsi="仿宋" w:eastAsia="仿宋" w:cs="仿宋"/>
          <w:bCs/>
          <w:color w:val="auto"/>
          <w:sz w:val="28"/>
          <w:szCs w:val="28"/>
          <w:highlight w:val="none"/>
          <w:lang w:val="en-US" w:eastAsia="zh-CN"/>
        </w:rPr>
        <w:t>签署日期为2023年1月1日至投标截止日</w:t>
      </w:r>
      <w:r>
        <w:rPr>
          <w:rFonts w:hint="eastAsia" w:ascii="仿宋" w:hAnsi="仿宋" w:eastAsia="仿宋" w:cs="仿宋"/>
          <w:bCs/>
          <w:color w:val="auto"/>
          <w:sz w:val="28"/>
          <w:szCs w:val="28"/>
          <w:highlight w:val="none"/>
          <w:lang w:eastAsia="zh-CN"/>
        </w:rPr>
        <w:t>）具有至少</w:t>
      </w:r>
      <w:r>
        <w:rPr>
          <w:rFonts w:hint="eastAsia" w:ascii="仿宋" w:hAnsi="仿宋" w:eastAsia="仿宋" w:cs="仿宋"/>
          <w:bCs/>
          <w:color w:val="auto"/>
          <w:sz w:val="28"/>
          <w:szCs w:val="28"/>
          <w:highlight w:val="none"/>
          <w:lang w:val="en-US" w:eastAsia="zh-CN"/>
        </w:rPr>
        <w:t>1个</w:t>
      </w:r>
      <w:r>
        <w:rPr>
          <w:rFonts w:hint="eastAsia" w:ascii="仿宋" w:hAnsi="仿宋" w:eastAsia="仿宋" w:cs="仿宋"/>
          <w:bCs/>
          <w:color w:val="auto"/>
          <w:sz w:val="28"/>
          <w:szCs w:val="28"/>
          <w:highlight w:val="none"/>
          <w:lang w:eastAsia="zh-CN"/>
        </w:rPr>
        <w:t>与</w:t>
      </w:r>
      <w:r>
        <w:rPr>
          <w:rFonts w:hint="eastAsia" w:ascii="仿宋" w:hAnsi="仿宋" w:eastAsia="仿宋" w:cs="仿宋"/>
          <w:bCs/>
          <w:color w:val="auto"/>
          <w:sz w:val="28"/>
          <w:szCs w:val="28"/>
          <w:highlight w:val="none"/>
        </w:rPr>
        <w:t>机构总行或总公司直接签署合同</w:t>
      </w:r>
      <w:r>
        <w:rPr>
          <w:rFonts w:hint="eastAsia" w:ascii="仿宋" w:hAnsi="仿宋" w:eastAsia="仿宋" w:cs="仿宋"/>
          <w:bCs/>
          <w:color w:val="auto"/>
          <w:sz w:val="28"/>
          <w:szCs w:val="28"/>
          <w:highlight w:val="none"/>
          <w:lang w:val="en-US" w:eastAsia="zh-CN"/>
        </w:rPr>
        <w:t>的商业银行机构[</w:t>
      </w:r>
      <w:r>
        <w:rPr>
          <w:rFonts w:hint="eastAsia" w:ascii="仿宋" w:hAnsi="仿宋" w:eastAsia="仿宋" w:cs="仿宋"/>
          <w:bCs/>
          <w:color w:val="auto"/>
          <w:sz w:val="28"/>
          <w:szCs w:val="28"/>
          <w:highlight w:val="none"/>
        </w:rPr>
        <w:t>国有银行、股份制银行、城商行、省级农商行</w:t>
      </w:r>
      <w:r>
        <w:rPr>
          <w:rFonts w:hint="eastAsia" w:ascii="仿宋" w:hAnsi="仿宋" w:eastAsia="仿宋" w:cs="仿宋"/>
          <w:bCs/>
          <w:color w:val="auto"/>
          <w:sz w:val="28"/>
          <w:szCs w:val="28"/>
          <w:highlight w:val="none"/>
          <w:lang w:eastAsia="zh-CN"/>
        </w:rPr>
        <w:t>、省级农信社</w:t>
      </w:r>
      <w:r>
        <w:rPr>
          <w:rFonts w:hint="eastAsia" w:ascii="仿宋" w:hAnsi="仿宋" w:eastAsia="仿宋" w:cs="仿宋"/>
          <w:bCs/>
          <w:color w:val="auto"/>
          <w:sz w:val="28"/>
          <w:szCs w:val="28"/>
          <w:highlight w:val="none"/>
        </w:rPr>
        <w:t>、</w:t>
      </w:r>
      <w:r>
        <w:rPr>
          <w:rFonts w:hint="eastAsia" w:ascii="仿宋" w:hAnsi="仿宋" w:eastAsia="仿宋" w:cs="仿宋"/>
          <w:bCs/>
          <w:color w:val="auto"/>
          <w:sz w:val="28"/>
          <w:szCs w:val="28"/>
          <w:highlight w:val="none"/>
          <w:lang w:eastAsia="zh-CN"/>
        </w:rPr>
        <w:t>计划单列市（</w:t>
      </w:r>
      <w:r>
        <w:rPr>
          <w:rFonts w:hint="eastAsia" w:ascii="仿宋" w:hAnsi="仿宋" w:eastAsia="仿宋" w:cs="仿宋"/>
          <w:bCs/>
          <w:color w:val="auto"/>
          <w:sz w:val="28"/>
          <w:szCs w:val="28"/>
          <w:highlight w:val="none"/>
        </w:rPr>
        <w:t>大连、青岛、宁波、厦门、深圳</w:t>
      </w:r>
      <w:r>
        <w:rPr>
          <w:rFonts w:hint="eastAsia" w:ascii="仿宋" w:hAnsi="仿宋" w:eastAsia="仿宋" w:cs="仿宋"/>
          <w:bCs/>
          <w:color w:val="auto"/>
          <w:sz w:val="28"/>
          <w:szCs w:val="28"/>
          <w:highlight w:val="none"/>
          <w:lang w:eastAsia="zh-CN"/>
        </w:rPr>
        <w:t>）</w:t>
      </w:r>
      <w:r>
        <w:rPr>
          <w:rFonts w:hint="eastAsia" w:ascii="仿宋" w:hAnsi="仿宋" w:eastAsia="仿宋" w:cs="仿宋"/>
          <w:bCs/>
          <w:color w:val="auto"/>
          <w:sz w:val="28"/>
          <w:szCs w:val="28"/>
          <w:highlight w:val="none"/>
        </w:rPr>
        <w:t>农商行</w:t>
      </w:r>
      <w:r>
        <w:rPr>
          <w:rFonts w:hint="eastAsia" w:ascii="仿宋" w:hAnsi="仿宋" w:eastAsia="仿宋" w:cs="仿宋"/>
          <w:bCs/>
          <w:color w:val="auto"/>
          <w:sz w:val="28"/>
          <w:szCs w:val="28"/>
          <w:highlight w:val="none"/>
          <w:lang w:eastAsia="zh-CN"/>
        </w:rPr>
        <w:t>和农信社</w:t>
      </w:r>
      <w:r>
        <w:rPr>
          <w:rFonts w:hint="eastAsia" w:ascii="仿宋" w:hAnsi="仿宋" w:eastAsia="仿宋" w:cs="仿宋"/>
          <w:bCs/>
          <w:color w:val="auto"/>
          <w:sz w:val="28"/>
          <w:szCs w:val="28"/>
          <w:highlight w:val="none"/>
        </w:rPr>
        <w:t>或</w:t>
      </w:r>
      <w:r>
        <w:rPr>
          <w:rFonts w:hint="eastAsia" w:ascii="仿宋" w:hAnsi="仿宋" w:eastAsia="仿宋" w:cs="仿宋"/>
          <w:bCs/>
          <w:color w:val="auto"/>
          <w:sz w:val="28"/>
          <w:szCs w:val="28"/>
          <w:highlight w:val="none"/>
          <w:lang w:eastAsia="zh-CN"/>
        </w:rPr>
        <w:t>直辖市（北京、天津、上海、重庆）</w:t>
      </w:r>
      <w:r>
        <w:rPr>
          <w:rFonts w:hint="eastAsia" w:ascii="仿宋" w:hAnsi="仿宋" w:eastAsia="仿宋" w:cs="仿宋"/>
          <w:bCs/>
          <w:color w:val="auto"/>
          <w:sz w:val="28"/>
          <w:szCs w:val="28"/>
          <w:highlight w:val="none"/>
        </w:rPr>
        <w:t>农商行</w:t>
      </w:r>
      <w:r>
        <w:rPr>
          <w:rFonts w:hint="eastAsia" w:ascii="仿宋" w:hAnsi="仿宋" w:eastAsia="仿宋" w:cs="仿宋"/>
          <w:bCs/>
          <w:color w:val="auto"/>
          <w:sz w:val="28"/>
          <w:szCs w:val="28"/>
          <w:highlight w:val="none"/>
          <w:lang w:eastAsia="zh-CN"/>
        </w:rPr>
        <w:t>和农信社</w:t>
      </w:r>
      <w:r>
        <w:rPr>
          <w:rFonts w:hint="eastAsia" w:ascii="仿宋" w:hAnsi="仿宋" w:eastAsia="仿宋" w:cs="仿宋"/>
          <w:bCs/>
          <w:color w:val="auto"/>
          <w:sz w:val="28"/>
          <w:szCs w:val="28"/>
          <w:highlight w:val="none"/>
          <w:lang w:val="en-US" w:eastAsia="zh-CN"/>
        </w:rPr>
        <w:t>]</w:t>
      </w:r>
      <w:r>
        <w:rPr>
          <w:rFonts w:hint="eastAsia" w:ascii="仿宋" w:hAnsi="仿宋" w:eastAsia="仿宋" w:cs="仿宋"/>
          <w:b w:val="0"/>
          <w:bCs/>
          <w:color w:val="auto"/>
          <w:sz w:val="28"/>
          <w:szCs w:val="28"/>
          <w:highlight w:val="none"/>
          <w:lang w:eastAsia="zh-CN"/>
        </w:rPr>
        <w:t>外部数据采购</w:t>
      </w:r>
      <w:r>
        <w:rPr>
          <w:rFonts w:hint="eastAsia" w:ascii="仿宋" w:hAnsi="仿宋" w:eastAsia="仿宋" w:cs="仿宋"/>
          <w:b w:val="0"/>
          <w:bCs/>
          <w:color w:val="auto"/>
          <w:sz w:val="28"/>
          <w:szCs w:val="28"/>
          <w:highlight w:val="none"/>
          <w:lang w:val="en-US" w:eastAsia="zh-CN"/>
        </w:rPr>
        <w:t>实施案例。</w:t>
      </w:r>
      <w:r>
        <w:rPr>
          <w:rFonts w:hint="eastAsia" w:ascii="仿宋" w:hAnsi="仿宋" w:eastAsia="仿宋" w:cs="仿宋"/>
          <w:b/>
          <w:bCs w:val="0"/>
          <w:color w:val="auto"/>
          <w:sz w:val="28"/>
          <w:szCs w:val="28"/>
          <w:highlight w:val="none"/>
          <w:lang w:val="en-US" w:eastAsia="zh-CN"/>
        </w:rPr>
        <w:t>合同名称或合同采购内容须包含本标段对应的“外部数据采购合同关键字”列表中“数据细类”关键字之一或关键字的同义词（可参考数据说明）</w:t>
      </w:r>
      <w:r>
        <w:rPr>
          <w:rFonts w:hint="eastAsia" w:ascii="仿宋" w:hAnsi="仿宋" w:eastAsia="仿宋" w:cs="仿宋"/>
          <w:b/>
          <w:bCs w:val="0"/>
          <w:color w:val="auto"/>
          <w:sz w:val="28"/>
          <w:szCs w:val="28"/>
          <w:highlight w:val="none"/>
          <w:lang w:eastAsia="zh-CN"/>
        </w:rPr>
        <w:t>。投标供应商需</w:t>
      </w:r>
      <w:r>
        <w:rPr>
          <w:rFonts w:hint="eastAsia" w:ascii="仿宋" w:hAnsi="仿宋" w:eastAsia="仿宋" w:cs="仿宋"/>
          <w:b/>
          <w:bCs w:val="0"/>
          <w:color w:val="auto"/>
          <w:sz w:val="28"/>
          <w:szCs w:val="28"/>
          <w:highlight w:val="none"/>
          <w:lang w:val="en-US" w:eastAsia="zh-CN"/>
        </w:rPr>
        <w:t>提供上述实施案例的项目合同复印件，复印件须包括合同首页、采购内容、双方签字盖章页、签订日期页等关键页，并加盖投标供应商公章，</w:t>
      </w:r>
      <w:r>
        <w:rPr>
          <w:rFonts w:hint="eastAsia" w:ascii="仿宋" w:hAnsi="仿宋" w:eastAsia="仿宋" w:cs="仿宋"/>
          <w:b/>
          <w:sz w:val="28"/>
          <w:szCs w:val="28"/>
          <w:highlight w:val="none"/>
          <w:lang w:val="en-US" w:eastAsia="zh-CN"/>
        </w:rPr>
        <w:t>同时提供以下任一材料证明项目的真实性：①项目合同原件（投标截止时间前提供相应的原件给代理机构）；②加盖投标供应商公章的官网中标公告截图及公告网址；③加盖投标供应商公章的中标通知书复印件</w:t>
      </w:r>
      <w:r>
        <w:rPr>
          <w:rFonts w:hint="eastAsia" w:ascii="仿宋" w:hAnsi="仿宋" w:eastAsia="仿宋" w:cs="仿宋"/>
          <w:b/>
          <w:bCs w:val="0"/>
          <w:color w:val="auto"/>
          <w:sz w:val="28"/>
          <w:szCs w:val="28"/>
          <w:highlight w:val="none"/>
          <w:lang w:val="en-US" w:eastAsia="zh-CN"/>
        </w:rPr>
        <w:t>。</w:t>
      </w:r>
    </w:p>
    <w:p>
      <w:pPr>
        <w:pStyle w:val="TenderBody"/>
        <w:rPr/>
      </w:pPr>
      <w:r>
        <w:t xml:space="preserve">（此处贴入：近3年内与商业银行机构直接签署合同的外部数据采购实施案例合同复印件——含合同首页、采购内容、双方签字盖章页、签订日期页等关键页，加盖投标供应商公章）
（此处贴入：项目真实性证明材料——以下三选一：①项目合同原件（投标截止时间前提供原件给代理机构）；②加盖投标供应商公章的官网中标公告截图及公告网址；③加盖投标供应商公章的中标通知书复印件）</w:t>
      </w:r>
      <w:commentRangeStart w:id="14"/>
      <w:r/>
      <w:commentRangeEnd w:id="14"/>
      <w:r>
        <w:rPr>
          <w:rStyle w:val="CommentReference"/>
        </w:rPr>
        <w:commentReference w:id="14"/>
      </w:r>
    </w:p>
    <w:p>
      <w:pPr>
        <w:pStyle w:val="Heading2"/>
      </w:pPr>
      <w:r>
        <w:t>7.4 法定代表人授权书（格式7-4）</w:t>
      </w:r>
    </w:p>
    <w:p w14:paraId="3B93D485">
      <w:pPr>
        <w:pStyle w:val="14"/>
        <w:spacing w:before="0" w:after="0" w:line="560" w:lineRule="exact"/>
        <w:jc w:val="center"/>
        <w:outlineLvl w:val="9"/>
        <w:rPr>
          <w:rFonts w:hint="eastAsia" w:ascii="仿宋" w:hAnsi="仿宋" w:eastAsia="仿宋" w:cs="仿宋"/>
          <w:b/>
          <w:color w:val="auto"/>
          <w:kern w:val="0"/>
          <w:sz w:val="32"/>
          <w:szCs w:val="32"/>
          <w:highlight w:val="none"/>
        </w:rPr>
      </w:pPr>
      <w:r>
        <w:rPr>
          <w:rFonts w:hint="eastAsia" w:ascii="仿宋" w:hAnsi="仿宋" w:eastAsia="仿宋" w:cs="仿宋"/>
          <w:color w:val="auto"/>
          <w:sz w:val="28"/>
          <w:highlight w:val="none"/>
        </w:rPr>
        <w:br w:type="page"/>
      </w:r>
      <w:r>
        <w:rPr>
          <w:rFonts w:hint="eastAsia" w:ascii="仿宋" w:hAnsi="仿宋" w:eastAsia="仿宋" w:cs="仿宋"/>
          <w:b/>
          <w:color w:val="auto"/>
          <w:kern w:val="0"/>
          <w:sz w:val="32"/>
          <w:szCs w:val="32"/>
          <w:highlight w:val="none"/>
        </w:rPr>
        <w:t>7-4法定代表人授权书（格式）</w:t>
      </w:r>
    </w:p>
    <w:p w14:paraId="3862A2FF">
      <w:pPr>
        <w:spacing w:line="360" w:lineRule="auto"/>
        <w:jc w:val="left"/>
        <w:rPr>
          <w:rFonts w:hint="eastAsia" w:ascii="仿宋" w:hAnsi="仿宋" w:eastAsia="仿宋" w:cs="仿宋"/>
          <w:color w:val="auto"/>
          <w:highlight w:val="none"/>
        </w:rPr>
      </w:pPr>
    </w:p>
    <w:p w14:paraId="1EA230BD">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致: 江西省永晋招标咨询有限公司</w:t>
      </w:r>
    </w:p>
    <w:p w14:paraId="3E81FFC2">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rPr>
        <w:t xml:space="preserve">（杭州研数科技有限公司（验收演示））</w:t>
      </w:r>
      <w:r>
        <w:rPr>
          <w:rFonts w:hint="eastAsia" w:ascii="仿宋" w:hAnsi="仿宋" w:eastAsia="仿宋" w:cs="仿宋"/>
          <w:color w:val="auto"/>
          <w:sz w:val="28"/>
          <w:szCs w:val="28"/>
          <w:highlight w:val="none"/>
        </w:rPr>
        <w:t xml:space="preserve">法定代表人</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rPr>
        <w:t xml:space="preserve">授权：陈演示（总经理）</w:t>
      </w:r>
      <w:r>
        <w:rPr>
          <w:rFonts w:hint="eastAsia" w:ascii="仿宋" w:hAnsi="仿宋" w:eastAsia="仿宋" w:cs="仿宋"/>
          <w:color w:val="auto"/>
          <w:sz w:val="28"/>
          <w:szCs w:val="28"/>
          <w:highlight w:val="none"/>
        </w:rPr>
        <w:t xml:space="preserve">（王验收）</w:t>
      </w:r>
      <w:r>
        <w:rPr>
          <w:rFonts w:hint="eastAsia" w:ascii="仿宋" w:hAnsi="仿宋" w:eastAsia="仿宋" w:cs="仿宋"/>
          <w:color w:val="auto"/>
          <w:sz w:val="28"/>
          <w:szCs w:val="28"/>
          <w:highlight w:val="none"/>
        </w:rPr>
        <w:t xml:space="preserve">为全权代表,参加贵处组织的</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rPr>
        <w:t xml:space="preserve">（JXYJ2026-GZYH-G005-1）</w:t>
      </w:r>
      <w:r>
        <w:rPr>
          <w:rFonts w:hint="eastAsia" w:ascii="仿宋" w:hAnsi="仿宋" w:eastAsia="仿宋" w:cs="仿宋"/>
          <w:color w:val="auto"/>
          <w:sz w:val="28"/>
          <w:szCs w:val="28"/>
          <w:highlight w:val="none"/>
        </w:rPr>
        <w:t xml:space="preserve">项目招标活动，全权代表我方处理招标活动中的一切事宜。</w:t>
      </w:r>
    </w:p>
    <w:p w14:paraId="7E1EF412">
      <w:pPr>
        <w:spacing w:line="360" w:lineRule="auto"/>
        <w:ind w:firstLine="560" w:firstLineChars="200"/>
        <w:jc w:val="left"/>
        <w:rPr>
          <w:rFonts w:hint="eastAsia" w:ascii="仿宋" w:hAnsi="仿宋" w:eastAsia="仿宋" w:cs="仿宋"/>
          <w:color w:val="auto"/>
          <w:sz w:val="28"/>
          <w:szCs w:val="28"/>
          <w:highlight w:val="none"/>
        </w:rPr>
      </w:pPr>
    </w:p>
    <w:p w14:paraId="0436EE7F">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sz w:val="28"/>
          <w:szCs w:val="28"/>
          <w:highlight w:val="none"/>
        </w:rPr>
        <w:t xml:space="preserve">法定代表人（经营者或自然人）（签字或盖章）：陈演示</w:t>
      </w:r>
    </w:p>
    <w:p w14:paraId="14336C85">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sz w:val="28"/>
          <w:szCs w:val="28"/>
          <w:highlight w:val="none"/>
        </w:rPr>
        <w:t xml:space="preserve">投标供应商名称（公章或自然人印鉴章）：杭州研数科技有限公司（验收演示）</w:t>
      </w:r>
    </w:p>
    <w:p w14:paraId="4C2E6BFA">
      <w:pPr>
        <w:spacing w:line="360" w:lineRule="auto"/>
        <w:ind w:firstLine="560" w:firstLineChars="200"/>
        <w:jc w:val="righ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kern w:val="0"/>
          <w:sz w:val="28"/>
          <w:szCs w:val="28"/>
          <w:highlight w:val="none"/>
        </w:rPr>
        <w:t xml:space="preserve">2026年8月19日</w:t>
      </w:r>
    </w:p>
    <w:p w14:paraId="56A5E781">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附：</w:t>
      </w:r>
    </w:p>
    <w:p w14:paraId="69D5EF75">
      <w:pPr>
        <w:spacing w:line="360" w:lineRule="auto"/>
        <w:ind w:firstLine="560" w:firstLineChars="200"/>
        <w:jc w:val="left"/>
        <w:rPr>
          <w:rFonts w:hint="eastAsia" w:ascii="仿宋" w:hAnsi="仿宋" w:eastAsia="仿宋" w:cs="仿宋"/>
          <w:color w:val="auto"/>
          <w:sz w:val="28"/>
          <w:szCs w:val="28"/>
          <w:highlight w:val="none"/>
          <w:u w:val="single"/>
        </w:rPr>
      </w:pPr>
      <w:r>
        <w:rPr>
          <w:rFonts w:hint="eastAsia" w:ascii="仿宋" w:hAnsi="仿宋" w:eastAsia="仿宋" w:cs="仿宋"/>
          <w:color w:val="auto"/>
          <w:sz w:val="28"/>
          <w:szCs w:val="28"/>
          <w:highlight w:val="none"/>
        </w:rPr>
        <w:t xml:space="preserve">全权代表姓名：王验收</w:t>
      </w:r>
      <w:r>
        <w:rPr>
          <w:rFonts w:hint="eastAsia" w:ascii="仿宋" w:hAnsi="仿宋" w:eastAsia="仿宋" w:cs="仿宋"/>
          <w:color w:val="auto"/>
          <w:sz w:val="28"/>
          <w:szCs w:val="28"/>
          <w:highlight w:val="none"/>
          <w:u w:val="single"/>
        </w:rPr>
        <w:t xml:space="preserve">                   </w:t>
      </w:r>
    </w:p>
    <w:p w14:paraId="019BAFD9">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职        务：投标负责人</w:t>
      </w:r>
      <w:r>
        <w:rPr>
          <w:rFonts w:hint="eastAsia" w:ascii="仿宋" w:hAnsi="仿宋" w:eastAsia="仿宋" w:cs="仿宋"/>
          <w:color w:val="auto"/>
          <w:sz w:val="28"/>
          <w:szCs w:val="28"/>
          <w:highlight w:val="none"/>
          <w:u w:val="single"/>
        </w:rPr>
        <w:t xml:space="preserve">                   </w:t>
      </w:r>
    </w:p>
    <w:p w14:paraId="1ECB461E">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电        话：0571-00000001（验收演示）</w:t>
      </w:r>
      <w:r>
        <w:rPr>
          <w:rFonts w:hint="eastAsia" w:ascii="仿宋" w:hAnsi="仿宋" w:eastAsia="仿宋" w:cs="仿宋"/>
          <w:color w:val="auto"/>
          <w:sz w:val="28"/>
          <w:szCs w:val="28"/>
          <w:highlight w:val="none"/>
          <w:u w:val="single"/>
        </w:rPr>
        <w:t xml:space="preserve">                   </w:t>
      </w:r>
    </w:p>
    <w:p w14:paraId="702849D9">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详细通讯地址：杭州市滨江区演示路100号（验收演示）</w:t>
      </w:r>
      <w:r>
        <w:rPr>
          <w:rFonts w:hint="eastAsia" w:ascii="仿宋" w:hAnsi="仿宋" w:eastAsia="仿宋" w:cs="仿宋"/>
          <w:color w:val="auto"/>
          <w:sz w:val="28"/>
          <w:szCs w:val="28"/>
          <w:highlight w:val="none"/>
          <w:u w:val="single"/>
        </w:rPr>
        <w:t xml:space="preserve">                   </w:t>
      </w:r>
    </w:p>
    <w:p w14:paraId="4E1742A1">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邮 政 编 码 ：310000</w:t>
      </w:r>
      <w:r>
        <w:rPr>
          <w:rFonts w:hint="eastAsia" w:ascii="仿宋" w:hAnsi="仿宋" w:eastAsia="仿宋" w:cs="仿宋"/>
          <w:color w:val="auto"/>
          <w:sz w:val="28"/>
          <w:szCs w:val="28"/>
          <w:highlight w:val="none"/>
          <w:u w:val="single"/>
        </w:rPr>
        <w:t xml:space="preserve">                   </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14:paraId="27E78B0A">
        <w:trPr>
          <w:trHeight w:val="2950" w:hRule="atLeast"/>
        </w:trPr>
        <w:tc>
          <w:tcPr>
            <w:tcW w:w="8946" w:type="dxa"/>
            <w:noWrap w:val="0"/>
            <w:vAlign w:val="top"/>
          </w:tcPr>
          <w:p w14:paraId="4CBC1E50">
            <w:pPr>
              <w:widowControl/>
              <w:spacing w:line="360" w:lineRule="auto"/>
              <w:ind w:firstLine="560" w:firstLineChars="200"/>
              <w:jc w:val="left"/>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粘贴法定代表人及被授权人身份证明</w:t>
            </w:r>
            <w:r>
              <w:rPr>
                <w:rFonts w:hint="eastAsia" w:ascii="仿宋" w:hAnsi="仿宋" w:eastAsia="仿宋" w:cs="仿宋"/>
                <w:b/>
                <w:color w:val="auto"/>
                <w:kern w:val="0"/>
                <w:sz w:val="28"/>
                <w:szCs w:val="28"/>
                <w:highlight w:val="none"/>
              </w:rPr>
              <w:t>（复印件正、反两面）</w:t>
            </w:r>
          </w:p>
        </w:tc>
      </w:tr>
    </w:tbl>
    <w:p w14:paraId="61AA63F2">
      <w:pPr>
        <w:spacing w:line="360" w:lineRule="auto"/>
        <w:jc w:val="left"/>
        <w:rPr>
          <w:rFonts w:hint="eastAsia" w:ascii="仿宋" w:hAnsi="仿宋" w:eastAsia="仿宋" w:cs="仿宋"/>
          <w:b/>
          <w:bCs w:val="0"/>
          <w:color w:val="auto"/>
          <w:sz w:val="24"/>
          <w:szCs w:val="24"/>
          <w:highlight w:val="none"/>
          <w:lang w:val="en-US" w:eastAsia="zh-CN"/>
        </w:rPr>
      </w:pPr>
      <w:commentRangeStart w:id="15"/>
      <w:r>
        <w:rPr>
          <w:rFonts w:hint="eastAsia" w:ascii="仿宋" w:hAnsi="仿宋" w:eastAsia="仿宋" w:cs="仿宋"/>
          <w:b/>
          <w:bCs w:val="0"/>
          <w:color w:val="auto"/>
          <w:sz w:val="24"/>
          <w:szCs w:val="24"/>
          <w:highlight w:val="none"/>
          <w:lang w:val="en-US" w:eastAsia="zh-CN"/>
        </w:rPr>
        <w:t>备注：若法定代表人亲自参与响应则不需此件，仅需提供法定代表人身份证明书</w:t>
      </w:r>
      <w:commentRangeEnd w:id="15"/>
      <w:r>
        <w:rPr>
          <w:rStyle w:val="CommentReference"/>
        </w:rPr>
        <w:commentReference w:id="15"/>
      </w:r>
    </w:p>
    <w:p>
      <w:pPr>
        <w:pStyle w:val="Heading2"/>
      </w:pPr>
      <w:r>
        <w:t>7.5 法定代表人身份证明书（格式7-5）</w:t>
      </w:r>
    </w:p>
    <w:p w14:paraId="4159A08A">
      <w:pPr>
        <w:pStyle w:val="15"/>
        <w:spacing w:before="0" w:after="0" w:line="560" w:lineRule="exact"/>
        <w:jc w:val="center"/>
        <w:outlineLvl w:val="9"/>
        <w:rPr>
          <w:rFonts w:hint="eastAsia" w:ascii="仿宋" w:hAnsi="仿宋" w:eastAsia="仿宋" w:cs="仿宋"/>
          <w:b/>
          <w:color w:val="auto"/>
          <w:kern w:val="0"/>
          <w:sz w:val="32"/>
          <w:szCs w:val="32"/>
          <w:highlight w:val="none"/>
        </w:rPr>
      </w:pPr>
      <w:r>
        <w:rPr>
          <w:rFonts w:hint="eastAsia" w:ascii="仿宋" w:hAnsi="仿宋" w:eastAsia="仿宋" w:cs="仿宋"/>
          <w:b/>
          <w:bCs w:val="0"/>
          <w:color w:val="auto"/>
          <w:sz w:val="24"/>
          <w:szCs w:val="24"/>
          <w:highlight w:val="none"/>
          <w:lang w:val="en-US" w:eastAsia="zh-CN"/>
        </w:rPr>
        <w:br w:type="page"/>
      </w:r>
      <w:r>
        <w:rPr>
          <w:rFonts w:hint="eastAsia" w:ascii="仿宋" w:hAnsi="仿宋" w:eastAsia="仿宋" w:cs="仿宋"/>
          <w:b/>
          <w:bCs/>
          <w:color w:val="auto"/>
          <w:kern w:val="0"/>
          <w:sz w:val="32"/>
          <w:szCs w:val="32"/>
          <w:highlight w:val="none"/>
        </w:rPr>
        <w:t>7-</w:t>
      </w:r>
      <w:r>
        <w:rPr>
          <w:rFonts w:hint="eastAsia" w:ascii="仿宋" w:hAnsi="仿宋" w:eastAsia="仿宋" w:cs="仿宋"/>
          <w:b/>
          <w:bCs/>
          <w:color w:val="auto"/>
          <w:kern w:val="0"/>
          <w:sz w:val="32"/>
          <w:szCs w:val="32"/>
          <w:highlight w:val="none"/>
          <w:lang w:val="en-US" w:eastAsia="zh-CN"/>
        </w:rPr>
        <w:t>5</w:t>
      </w:r>
      <w:r>
        <w:rPr>
          <w:rFonts w:hint="eastAsia" w:ascii="仿宋" w:hAnsi="仿宋" w:eastAsia="仿宋" w:cs="仿宋"/>
          <w:b/>
          <w:bCs/>
          <w:color w:val="auto"/>
          <w:kern w:val="0"/>
          <w:sz w:val="32"/>
          <w:szCs w:val="32"/>
          <w:highlight w:val="none"/>
        </w:rPr>
        <w:t>法定代表人</w:t>
      </w:r>
      <w:r>
        <w:rPr>
          <w:rFonts w:hint="eastAsia" w:ascii="仿宋" w:hAnsi="仿宋" w:eastAsia="仿宋" w:cs="仿宋"/>
          <w:b/>
          <w:bCs/>
          <w:color w:val="auto"/>
          <w:kern w:val="0"/>
          <w:sz w:val="32"/>
          <w:szCs w:val="32"/>
          <w:highlight w:val="none"/>
          <w:lang w:val="en-US" w:eastAsia="zh-CN"/>
        </w:rPr>
        <w:t>身份证明书</w:t>
      </w:r>
      <w:r>
        <w:rPr>
          <w:rFonts w:hint="eastAsia" w:ascii="仿宋" w:hAnsi="仿宋" w:eastAsia="仿宋" w:cs="仿宋"/>
          <w:b/>
          <w:bCs/>
          <w:color w:val="auto"/>
          <w:kern w:val="0"/>
          <w:sz w:val="32"/>
          <w:szCs w:val="32"/>
          <w:highlight w:val="none"/>
        </w:rPr>
        <w:t>（格式）</w:t>
      </w:r>
    </w:p>
    <w:p w14:paraId="464BB52A">
      <w:pPr>
        <w:spacing w:line="360" w:lineRule="auto"/>
        <w:jc w:val="left"/>
        <w:rPr>
          <w:rFonts w:hint="eastAsia" w:ascii="仿宋" w:hAnsi="仿宋" w:eastAsia="仿宋" w:cs="仿宋"/>
          <w:color w:val="auto"/>
          <w:sz w:val="28"/>
          <w:szCs w:val="28"/>
          <w:highlight w:val="none"/>
        </w:rPr>
      </w:pPr>
    </w:p>
    <w:p w14:paraId="7B0BE9B4">
      <w:pPr>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致: 江西省永晋招标咨询有限公司</w:t>
      </w:r>
    </w:p>
    <w:p w14:paraId="46F07BD6">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rPr>
        <w:t xml:space="preserve">（陈演示）</w:t>
      </w:r>
      <w:r>
        <w:rPr>
          <w:rFonts w:hint="eastAsia" w:ascii="仿宋" w:hAnsi="仿宋" w:eastAsia="仿宋" w:cs="仿宋"/>
          <w:color w:val="auto"/>
          <w:sz w:val="28"/>
          <w:szCs w:val="28"/>
          <w:highlight w:val="none"/>
          <w:lang w:val="en-US" w:eastAsia="zh-CN"/>
        </w:rPr>
        <w:t>在</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u w:val="single"/>
          <w:lang w:val="en-US" w:eastAsia="zh-CN"/>
        </w:rPr>
        <w:t xml:space="preserve">     </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lang w:eastAsia="zh-CN"/>
        </w:rPr>
        <w:t xml:space="preserve">（杭州研数科技有限公司（验收演示））</w:t>
      </w:r>
      <w:r>
        <w:rPr>
          <w:rFonts w:hint="eastAsia" w:ascii="仿宋" w:hAnsi="仿宋" w:eastAsia="仿宋" w:cs="仿宋"/>
          <w:color w:val="auto"/>
          <w:sz w:val="28"/>
          <w:szCs w:val="28"/>
          <w:highlight w:val="none"/>
          <w:lang w:val="en-US" w:eastAsia="zh-CN"/>
        </w:rPr>
        <w:t>任</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rPr>
        <w:t xml:space="preserve">（总经理）</w:t>
      </w:r>
      <w:r>
        <w:rPr>
          <w:rFonts w:hint="eastAsia" w:ascii="仿宋" w:hAnsi="仿宋" w:eastAsia="仿宋" w:cs="仿宋"/>
          <w:color w:val="auto"/>
          <w:sz w:val="28"/>
          <w:szCs w:val="28"/>
          <w:highlight w:val="none"/>
          <w:lang w:val="en-US" w:eastAsia="zh-CN"/>
        </w:rPr>
        <w:t>职务，是</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lang w:eastAsia="zh-CN"/>
        </w:rPr>
        <w:t xml:space="preserve">（杭州研数科技有限公司（验收演示））</w:t>
      </w:r>
      <w:r>
        <w:rPr>
          <w:rFonts w:hint="eastAsia" w:ascii="仿宋" w:hAnsi="仿宋" w:eastAsia="仿宋" w:cs="仿宋"/>
          <w:color w:val="auto"/>
          <w:sz w:val="28"/>
          <w:szCs w:val="28"/>
          <w:highlight w:val="none"/>
          <w:lang w:val="en-US" w:eastAsia="zh-CN"/>
        </w:rPr>
        <w:t>的法定代表人</w:t>
      </w:r>
      <w:r>
        <w:rPr>
          <w:rFonts w:hint="eastAsia" w:ascii="仿宋" w:hAnsi="仿宋" w:eastAsia="仿宋" w:cs="仿宋"/>
          <w:color w:val="auto"/>
          <w:sz w:val="28"/>
          <w:szCs w:val="28"/>
          <w:highlight w:val="none"/>
        </w:rPr>
        <w:t>。</w:t>
      </w:r>
    </w:p>
    <w:tbl>
      <w:tblPr>
        <w:tblStyle w:val="4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46"/>
      </w:tblGrid>
      <w:tr w14:paraId="5B573180">
        <w:trPr>
          <w:trHeight w:val="2950" w:hRule="atLeast"/>
        </w:trPr>
        <w:tc>
          <w:tcPr>
            <w:tcW w:w="8946" w:type="dxa"/>
            <w:noWrap w:val="0"/>
            <w:vAlign w:val="top"/>
          </w:tcPr>
          <w:p w14:paraId="2FB24CFA">
            <w:pPr>
              <w:widowControl/>
              <w:spacing w:line="360" w:lineRule="auto"/>
              <w:ind w:firstLine="560" w:firstLineChars="200"/>
              <w:jc w:val="left"/>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粘贴法定代表人身份证明</w:t>
            </w:r>
            <w:r>
              <w:rPr>
                <w:rFonts w:hint="eastAsia" w:ascii="仿宋" w:hAnsi="仿宋" w:eastAsia="仿宋" w:cs="仿宋"/>
                <w:b/>
                <w:color w:val="auto"/>
                <w:kern w:val="0"/>
                <w:sz w:val="28"/>
                <w:szCs w:val="28"/>
                <w:highlight w:val="none"/>
              </w:rPr>
              <w:t>（复印件正、反两面）</w:t>
            </w:r>
          </w:p>
        </w:tc>
      </w:tr>
    </w:tbl>
    <w:p w14:paraId="132F6960">
      <w:pPr>
        <w:spacing w:line="360" w:lineRule="auto"/>
        <w:ind w:firstLine="560" w:firstLineChars="200"/>
        <w:jc w:val="left"/>
        <w:rPr>
          <w:rFonts w:hint="eastAsia" w:ascii="仿宋" w:hAnsi="仿宋" w:eastAsia="仿宋" w:cs="仿宋"/>
          <w:color w:val="auto"/>
          <w:sz w:val="28"/>
          <w:szCs w:val="28"/>
          <w:highlight w:val="none"/>
          <w:lang w:val="en-US" w:eastAsia="zh-CN"/>
        </w:rPr>
      </w:pPr>
      <w:commentRangeStart w:id="16"/>
      <w:r>
        <w:rPr>
          <w:rFonts w:hint="eastAsia" w:ascii="仿宋" w:hAnsi="仿宋" w:eastAsia="仿宋" w:cs="仿宋"/>
          <w:color w:val="auto"/>
          <w:sz w:val="28"/>
          <w:szCs w:val="28"/>
          <w:highlight w:val="none"/>
          <w:lang w:val="en-US" w:eastAsia="zh-CN"/>
        </w:rPr>
        <w:t>特此证明。</w:t>
      </w:r>
      <w:commentRangeEnd w:id="16"/>
      <w:r>
        <w:rPr>
          <w:rStyle w:val="CommentReference"/>
        </w:rPr>
        <w:commentReference w:id="16"/>
      </w:r>
    </w:p>
    <w:p w14:paraId="125E3DD6">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p>
    <w:p w14:paraId="6560969E">
      <w:pPr>
        <w:spacing w:line="360" w:lineRule="auto"/>
        <w:ind w:firstLine="560" w:firstLineChars="200"/>
        <w:jc w:val="right"/>
        <w:rPr>
          <w:rFonts w:hint="eastAsia" w:ascii="仿宋" w:hAnsi="仿宋" w:eastAsia="仿宋" w:cs="仿宋"/>
          <w:color w:val="auto"/>
          <w:kern w:val="0"/>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sz w:val="28"/>
          <w:szCs w:val="28"/>
          <w:highlight w:val="none"/>
        </w:rPr>
        <w:t xml:space="preserve">投标供应商名称（公章或自然人印鉴章）：杭州研数科技有限公司（验收演示）</w:t>
      </w:r>
      <w:r>
        <w:rPr>
          <w:rFonts w:hint="eastAsia" w:ascii="仿宋" w:hAnsi="仿宋" w:eastAsia="仿宋" w:cs="仿宋"/>
          <w:color w:val="auto"/>
          <w:sz w:val="28"/>
          <w:szCs w:val="28"/>
          <w:highlight w:val="none"/>
        </w:rPr>
        <w:t xml:space="preserve">                                   </w:t>
      </w:r>
      <w:r>
        <w:rPr>
          <w:rFonts w:hint="eastAsia" w:ascii="仿宋" w:hAnsi="仿宋" w:eastAsia="仿宋" w:cs="仿宋"/>
          <w:color w:val="auto"/>
          <w:kern w:val="0"/>
          <w:sz w:val="28"/>
          <w:szCs w:val="28"/>
          <w:highlight w:val="none"/>
        </w:rPr>
        <w:t xml:space="preserve">2026年8月19日</w:t>
      </w:r>
    </w:p>
    <w:p>
      <w:pPr>
        <w:pStyle w:val="Heading2"/>
      </w:pPr>
      <w:r>
        <w:t>7.6 交纳投标保证金银行凭证（格式7-6）</w:t>
      </w:r>
    </w:p>
    <w:p w14:paraId="032DDDD1">
      <w:pPr>
        <w:pStyle w:val="16"/>
        <w:spacing w:before="0" w:after="0" w:line="560" w:lineRule="exact"/>
        <w:jc w:val="center"/>
        <w:outlineLvl w:val="9"/>
        <w:rPr>
          <w:rFonts w:hint="eastAsia" w:ascii="仿宋" w:hAnsi="仿宋" w:eastAsia="仿宋" w:cs="仿宋"/>
          <w:b/>
          <w:color w:val="auto"/>
          <w:kern w:val="0"/>
          <w:sz w:val="32"/>
          <w:szCs w:val="32"/>
          <w:highlight w:val="none"/>
        </w:rPr>
      </w:pPr>
      <w:r>
        <w:rPr>
          <w:rFonts w:hint="eastAsia" w:ascii="仿宋" w:hAnsi="仿宋" w:eastAsia="仿宋" w:cs="仿宋"/>
          <w:color w:val="auto"/>
          <w:kern w:val="0"/>
          <w:sz w:val="27"/>
          <w:szCs w:val="27"/>
          <w:highlight w:val="none"/>
        </w:rPr>
        <w:br w:type="page"/>
      </w:r>
      <w:r>
        <w:rPr>
          <w:rFonts w:hint="eastAsia" w:ascii="仿宋" w:hAnsi="仿宋" w:eastAsia="仿宋" w:cs="仿宋"/>
          <w:b/>
          <w:color w:val="auto"/>
          <w:kern w:val="0"/>
          <w:sz w:val="32"/>
          <w:szCs w:val="32"/>
          <w:highlight w:val="none"/>
        </w:rPr>
        <w:t>7-6交纳投标保证金的银行凭证（格式）</w:t>
      </w:r>
    </w:p>
    <w:p w14:paraId="45FCF574">
      <w:pPr>
        <w:shd w:val="clear" w:color="auto" w:fill="FFFFFF"/>
        <w:spacing w:line="360" w:lineRule="auto"/>
        <w:ind w:firstLine="480" w:firstLineChars="200"/>
        <w:jc w:val="left"/>
        <w:rPr>
          <w:rFonts w:hint="eastAsia" w:ascii="仿宋" w:hAnsi="仿宋" w:eastAsia="仿宋" w:cs="仿宋"/>
          <w:color w:val="auto"/>
          <w:sz w:val="24"/>
          <w:highlight w:val="none"/>
        </w:rPr>
      </w:pP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ab/>
      </w:r>
      <w:r>
        <w:rPr>
          <w:rFonts w:hint="eastAsia" w:ascii="仿宋" w:hAnsi="仿宋" w:eastAsia="仿宋" w:cs="仿宋"/>
          <w:color w:val="auto"/>
          <w:sz w:val="24"/>
          <w:highlight w:val="none"/>
        </w:rPr>
        <w:t xml:space="preserve">         </w:t>
      </w:r>
    </w:p>
    <w:p w14:paraId="59C71293">
      <w:pPr>
        <w:shd w:val="clear" w:color="auto" w:fill="FFFFFF"/>
        <w:spacing w:line="360" w:lineRule="auto"/>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u w:val="single"/>
        </w:rPr>
        <w:t>江西省永晋招标咨询有限公司：</w:t>
      </w:r>
    </w:p>
    <w:p w14:paraId="1945CA19">
      <w:pPr>
        <w:shd w:val="clear" w:color="auto" w:fill="FFFFFF"/>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sz w:val="28"/>
          <w:szCs w:val="28"/>
          <w:highlight w:val="none"/>
          <w:u w:val="single"/>
        </w:rPr>
        <w:t xml:space="preserve"> </w:t>
      </w:r>
      <w:r>
        <w:rPr>
          <w:rFonts w:hint="eastAsia" w:ascii="仿宋" w:hAnsi="仿宋" w:eastAsia="仿宋" w:cs="仿宋"/>
          <w:color w:val="auto"/>
          <w:sz w:val="28"/>
          <w:szCs w:val="28"/>
          <w:highlight w:val="none"/>
          <w:u w:val="single"/>
        </w:rPr>
        <w:t xml:space="preserve">（投标供应商全称) 杭州研数科技有限公司（验收演示）参加贵方组织的，招标编号为 JXYJ2026-GZYH-G005-1 的采购活动。按招标文件的规定，已递交人民币（大写） 壹仟  元的投标保证金。</w:t>
      </w:r>
    </w:p>
    <w:p w14:paraId="3F59087D">
      <w:pPr>
        <w:shd w:val="clear" w:color="auto" w:fill="FFFFFF"/>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投标供应商名称：杭州研数科技有限公司（验收演示）</w:t>
      </w:r>
      <w:r>
        <w:rPr>
          <w:rFonts w:hint="eastAsia" w:ascii="仿宋" w:hAnsi="仿宋" w:eastAsia="仿宋" w:cs="仿宋"/>
          <w:color w:val="auto"/>
          <w:sz w:val="28"/>
          <w:szCs w:val="28"/>
          <w:highlight w:val="none"/>
          <w:u w:val="single"/>
        </w:rPr>
        <w:t xml:space="preserve">                     </w:t>
      </w:r>
    </w:p>
    <w:p w14:paraId="37437A13">
      <w:pPr>
        <w:shd w:val="clear" w:color="auto" w:fill="FFFFFF"/>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投标供应商开户银行：演示银行</w:t>
      </w:r>
      <w:r>
        <w:rPr>
          <w:rFonts w:hint="eastAsia" w:ascii="仿宋" w:hAnsi="仿宋" w:eastAsia="仿宋" w:cs="仿宋"/>
          <w:color w:val="auto"/>
          <w:sz w:val="28"/>
          <w:szCs w:val="28"/>
          <w:highlight w:val="none"/>
          <w:u w:val="single"/>
        </w:rPr>
        <w:t xml:space="preserve">                 </w:t>
      </w:r>
    </w:p>
    <w:p w14:paraId="063925CB">
      <w:pPr>
        <w:shd w:val="clear" w:color="auto" w:fill="FFFFFF"/>
        <w:spacing w:line="360" w:lineRule="auto"/>
        <w:ind w:firstLine="560" w:firstLineChars="200"/>
        <w:jc w:val="left"/>
        <w:rPr>
          <w:rFonts w:hint="eastAsia" w:ascii="仿宋" w:hAnsi="仿宋" w:eastAsia="仿宋" w:cs="仿宋"/>
          <w:color w:val="auto"/>
          <w:sz w:val="28"/>
          <w:szCs w:val="28"/>
          <w:highlight w:val="none"/>
          <w:u w:val="single"/>
        </w:rPr>
      </w:pPr>
      <w:r>
        <w:rPr>
          <w:rFonts w:hint="eastAsia" w:ascii="仿宋" w:hAnsi="仿宋" w:eastAsia="仿宋" w:cs="仿宋"/>
          <w:color w:val="auto"/>
          <w:sz w:val="28"/>
          <w:szCs w:val="28"/>
          <w:highlight w:val="none"/>
        </w:rPr>
        <w:t xml:space="preserve">投标供应商银行账号：DEMO-0001</w:t>
      </w:r>
      <w:r>
        <w:rPr>
          <w:rFonts w:hint="eastAsia" w:ascii="仿宋" w:hAnsi="仿宋" w:eastAsia="仿宋" w:cs="仿宋"/>
          <w:color w:val="auto"/>
          <w:sz w:val="28"/>
          <w:szCs w:val="28"/>
          <w:highlight w:val="none"/>
          <w:u w:val="single"/>
        </w:rPr>
        <w:t xml:space="preserve">                 </w:t>
      </w:r>
    </w:p>
    <w:p w14:paraId="09000D2B">
      <w:pPr>
        <w:shd w:val="clear" w:color="auto" w:fill="FFFFFF"/>
        <w:spacing w:line="360" w:lineRule="auto"/>
        <w:ind w:firstLine="560" w:firstLineChars="200"/>
        <w:jc w:val="left"/>
        <w:rPr>
          <w:rFonts w:hint="eastAsia" w:ascii="仿宋" w:hAnsi="仿宋" w:eastAsia="仿宋" w:cs="仿宋"/>
          <w:color w:val="auto"/>
          <w:sz w:val="28"/>
          <w:szCs w:val="28"/>
          <w:highlight w:val="none"/>
          <w:u w:val="single"/>
        </w:rPr>
      </w:pPr>
      <w:r>
        <w:rPr>
          <w:rFonts w:hint="eastAsia" w:ascii="仿宋" w:hAnsi="仿宋" w:eastAsia="仿宋" w:cs="仿宋"/>
          <w:color w:val="auto"/>
          <w:sz w:val="28"/>
          <w:szCs w:val="28"/>
          <w:highlight w:val="none"/>
        </w:rPr>
        <w:t xml:space="preserve">投标供应商名称（公章或自然人印鉴章）：杭州研数科技有限公司（验收演示）</w:t>
      </w:r>
    </w:p>
    <w:p w14:paraId="3C539187">
      <w:pPr>
        <w:shd w:val="clear" w:color="auto" w:fill="FFFFFF"/>
        <w:spacing w:line="360" w:lineRule="auto"/>
        <w:ind w:firstLine="560" w:firstLineChars="200"/>
        <w:jc w:val="left"/>
        <w:rPr>
          <w:rFonts w:hint="eastAsia" w:ascii="仿宋" w:hAnsi="仿宋" w:eastAsia="仿宋" w:cs="仿宋"/>
          <w:color w:val="auto"/>
          <w:sz w:val="28"/>
          <w:szCs w:val="28"/>
          <w:highlight w:val="none"/>
          <w:u w:val="single"/>
        </w:rPr>
      </w:pPr>
      <w:r>
        <w:rPr>
          <w:rFonts w:hint="eastAsia" w:ascii="仿宋" w:hAnsi="仿宋" w:eastAsia="仿宋" w:cs="仿宋"/>
          <w:color w:val="auto"/>
          <w:kern w:val="0"/>
          <w:sz w:val="28"/>
          <w:szCs w:val="28"/>
          <w:highlight w:val="none"/>
        </w:rPr>
        <w:t xml:space="preserve">法定代表人（经营者或自然人）或授权代表（签字或盖章 ）：陈演示（总经理）</w:t>
      </w:r>
      <w:r>
        <w:rPr>
          <w:rFonts w:hint="eastAsia" w:ascii="仿宋" w:hAnsi="仿宋" w:eastAsia="仿宋" w:cs="仿宋"/>
          <w:color w:val="auto"/>
          <w:sz w:val="28"/>
          <w:szCs w:val="28"/>
          <w:highlight w:val="none"/>
          <w:u w:val="single"/>
        </w:rPr>
        <w:t xml:space="preserve">         </w:t>
      </w:r>
    </w:p>
    <w:p w14:paraId="67B1DE9E">
      <w:pPr>
        <w:shd w:val="clear" w:color="auto" w:fill="FFFFFF"/>
        <w:spacing w:line="360" w:lineRule="auto"/>
        <w:ind w:firstLine="560" w:firstLineChars="200"/>
        <w:jc w:val="right"/>
        <w:rPr>
          <w:rFonts w:hint="eastAsia" w:ascii="仿宋" w:hAnsi="仿宋" w:eastAsia="仿宋" w:cs="仿宋"/>
          <w:color w:val="auto"/>
          <w:sz w:val="27"/>
          <w:szCs w:val="27"/>
          <w:highlight w:val="none"/>
        </w:rPr>
      </w:pPr>
      <w:r>
        <w:rPr>
          <w:rFonts w:hint="eastAsia" w:ascii="仿宋" w:hAnsi="仿宋" w:eastAsia="仿宋" w:cs="仿宋"/>
          <w:color w:val="auto"/>
          <w:sz w:val="28"/>
          <w:szCs w:val="28"/>
          <w:highlight w:val="none"/>
        </w:rPr>
        <w:t xml:space="preserve">2026 年 8 月 19 日</w:t>
      </w:r>
    </w:p>
    <w:tbl>
      <w:tblPr>
        <w:tblStyle w:val="42"/>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40"/>
      </w:tblGrid>
      <w:tr w14:paraId="3F52E9AD">
        <w:trPr>
          <w:trHeight w:val="3862" w:hRule="atLeast"/>
          <w:jc w:val="center"/>
        </w:trPr>
        <w:tc>
          <w:tcPr>
            <w:tcW w:w="9740" w:type="dxa"/>
            <w:tcBorders>
              <w:top w:val="single" w:color="auto" w:sz="4" w:space="0"/>
              <w:left w:val="single" w:color="auto" w:sz="4" w:space="0"/>
              <w:bottom w:val="single" w:color="auto" w:sz="4" w:space="0"/>
              <w:right w:val="single" w:color="auto" w:sz="4" w:space="0"/>
            </w:tcBorders>
            <w:noWrap w:val="0"/>
            <w:vAlign w:val="top"/>
          </w:tcPr>
          <w:p w14:paraId="49836AC4">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粘贴转账银行凭证（</w:t>
            </w:r>
            <w:r>
              <w:rPr>
                <w:rFonts w:hint="eastAsia" w:ascii="仿宋" w:hAnsi="仿宋" w:eastAsia="仿宋" w:cs="仿宋"/>
                <w:b/>
                <w:color w:val="auto"/>
                <w:kern w:val="0"/>
                <w:sz w:val="28"/>
                <w:szCs w:val="28"/>
                <w:highlight w:val="none"/>
              </w:rPr>
              <w:t>复印件</w:t>
            </w:r>
            <w:r>
              <w:rPr>
                <w:rFonts w:hint="eastAsia" w:ascii="仿宋" w:hAnsi="仿宋" w:eastAsia="仿宋" w:cs="仿宋"/>
                <w:color w:val="auto"/>
                <w:sz w:val="28"/>
                <w:szCs w:val="28"/>
                <w:highlight w:val="none"/>
              </w:rPr>
              <w:t>）</w:t>
            </w:r>
          </w:p>
        </w:tc>
      </w:tr>
    </w:tbl>
    <w:p w14:paraId="200001FA">
      <w:pPr>
        <w:shd w:val="clear" w:color="auto" w:fill="FFFFFF"/>
        <w:spacing w:line="360" w:lineRule="auto"/>
        <w:ind w:firstLine="560" w:firstLineChars="200"/>
        <w:jc w:val="left"/>
        <w:rPr>
          <w:rFonts w:hint="eastAsia" w:ascii="仿宋" w:hAnsi="仿宋" w:eastAsia="仿宋" w:cs="仿宋"/>
          <w:b/>
          <w:bCs/>
          <w:color w:val="auto"/>
          <w:sz w:val="28"/>
          <w:szCs w:val="28"/>
          <w:highlight w:val="none"/>
        </w:rPr>
      </w:pPr>
      <w:commentRangeStart w:id="17"/>
      <w:r>
        <w:rPr>
          <w:rFonts w:hint="eastAsia" w:ascii="仿宋" w:hAnsi="仿宋" w:eastAsia="仿宋" w:cs="仿宋"/>
          <w:color w:val="auto"/>
          <w:sz w:val="28"/>
          <w:szCs w:val="28"/>
          <w:highlight w:val="none"/>
        </w:rPr>
        <w:t>注：请投标供应商认真填写银行信息，并要求与转账银行凭证的相关信息一致，采购代理机构将依据此凭证信息退还投标保证金。</w:t>
      </w:r>
      <w:commentRangeEnd w:id="17"/>
      <w:r>
        <w:rPr>
          <w:rStyle w:val="CommentReference"/>
        </w:rPr>
        <w:commentReference w:id="17"/>
      </w:r>
    </w:p>
    <w:p>
      <w:pPr>
        <w:pStyle w:val="Heading2"/>
      </w:pPr>
      <w:r>
        <w:t>7.7 无不良信用记录承诺函（格式7-7）</w:t>
      </w:r>
    </w:p>
    <w:p w14:paraId="341A700C">
      <w:pPr>
        <w:pStyle w:val="18"/>
        <w:spacing w:before="0" w:after="0" w:line="560" w:lineRule="exact"/>
        <w:jc w:val="center"/>
        <w:outlineLvl w:val="9"/>
        <w:rPr>
          <w:rFonts w:hint="eastAsia" w:ascii="仿宋" w:hAnsi="仿宋" w:eastAsia="仿宋" w:cs="仿宋"/>
          <w:b/>
          <w:color w:val="auto"/>
          <w:kern w:val="0"/>
          <w:sz w:val="32"/>
          <w:szCs w:val="32"/>
          <w:highlight w:val="none"/>
        </w:rPr>
      </w:pPr>
      <w:r>
        <w:rPr>
          <w:rFonts w:hint="eastAsia" w:ascii="仿宋" w:hAnsi="仿宋" w:eastAsia="仿宋" w:cs="仿宋"/>
          <w:color w:val="auto"/>
          <w:kern w:val="0"/>
          <w:sz w:val="27"/>
          <w:szCs w:val="27"/>
          <w:highlight w:val="none"/>
        </w:rPr>
        <w:br w:type="page"/>
      </w:r>
      <w:r>
        <w:rPr>
          <w:rFonts w:hint="eastAsia" w:ascii="仿宋" w:hAnsi="仿宋" w:eastAsia="仿宋" w:cs="仿宋"/>
          <w:b/>
          <w:color w:val="auto"/>
          <w:kern w:val="0"/>
          <w:sz w:val="32"/>
          <w:szCs w:val="32"/>
          <w:highlight w:val="none"/>
          <w:lang w:val="en-US" w:eastAsia="zh-CN"/>
        </w:rPr>
        <w:t>7-7投标供应商在投标截止时间前在“信用中国”</w:t>
      </w:r>
      <w:r>
        <w:rPr>
          <w:rFonts w:hint="eastAsia" w:ascii="仿宋" w:hAnsi="仿宋" w:eastAsia="仿宋" w:cs="仿宋"/>
          <w:b/>
          <w:color w:val="auto"/>
          <w:kern w:val="0"/>
          <w:sz w:val="32"/>
          <w:szCs w:val="32"/>
          <w:highlight w:val="none"/>
        </w:rPr>
        <w:t>（www.creditchina.gov.cn）及中国政府采购网（www.ccgp.gov.cn）上无不良信用记录的承诺函</w:t>
      </w:r>
    </w:p>
    <w:p w14:paraId="02ED09CB">
      <w:pPr>
        <w:spacing w:line="360" w:lineRule="auto"/>
        <w:ind w:firstLine="560" w:firstLineChars="200"/>
        <w:jc w:val="left"/>
        <w:rPr>
          <w:rFonts w:hint="eastAsia" w:ascii="仿宋" w:hAnsi="仿宋" w:eastAsia="仿宋" w:cs="仿宋"/>
          <w:color w:val="auto"/>
          <w:sz w:val="28"/>
          <w:szCs w:val="28"/>
          <w:highlight w:val="none"/>
        </w:rPr>
      </w:pPr>
    </w:p>
    <w:p w14:paraId="2CB8BFAE">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致：江西省永晋招标咨询有限公司</w:t>
      </w:r>
    </w:p>
    <w:p w14:paraId="2B6C7261">
      <w:pPr>
        <w:spacing w:line="360" w:lineRule="auto"/>
        <w:ind w:firstLine="560" w:firstLineChars="200"/>
        <w:jc w:val="lef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我公司在投标截止时间前在“信用中国”（www.creditchina.gov.cn）及中国政府采购网（www.ccgp.gov.cn）上无不良信用记录。</w:t>
      </w:r>
    </w:p>
    <w:p w14:paraId="71356A10">
      <w:pPr>
        <w:spacing w:line="360" w:lineRule="auto"/>
        <w:ind w:firstLine="560" w:firstLineChars="200"/>
        <w:jc w:val="left"/>
        <w:rPr>
          <w:rFonts w:hint="eastAsia" w:ascii="仿宋" w:hAnsi="仿宋" w:eastAsia="仿宋" w:cs="仿宋"/>
          <w:color w:val="auto"/>
          <w:sz w:val="28"/>
          <w:szCs w:val="28"/>
          <w:highlight w:val="none"/>
        </w:rPr>
      </w:pPr>
    </w:p>
    <w:p w14:paraId="057D4146">
      <w:pPr>
        <w:spacing w:line="360" w:lineRule="auto"/>
        <w:ind w:firstLine="560" w:firstLineChars="200"/>
        <w:jc w:val="left"/>
        <w:rPr>
          <w:rFonts w:hint="eastAsia" w:ascii="仿宋" w:hAnsi="仿宋" w:eastAsia="仿宋" w:cs="仿宋"/>
          <w:color w:val="auto"/>
          <w:sz w:val="28"/>
          <w:szCs w:val="28"/>
          <w:highlight w:val="none"/>
        </w:rPr>
      </w:pPr>
    </w:p>
    <w:p w14:paraId="29C81B46">
      <w:pPr>
        <w:spacing w:line="360" w:lineRule="auto"/>
        <w:ind w:firstLine="560" w:firstLineChars="200"/>
        <w:jc w:val="righ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kern w:val="0"/>
          <w:sz w:val="28"/>
          <w:szCs w:val="28"/>
          <w:highlight w:val="none"/>
        </w:rPr>
        <w:t xml:space="preserve">法定代表人（经营者或自然人）或授权代表（签字或盖章）：陈演示（总经理）</w:t>
      </w:r>
    </w:p>
    <w:p w14:paraId="3C6E7940">
      <w:pPr>
        <w:spacing w:line="360" w:lineRule="auto"/>
        <w:ind w:firstLine="560" w:firstLineChars="200"/>
        <w:jc w:val="righ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p>
    <w:p w14:paraId="15EB7D0B">
      <w:pPr>
        <w:spacing w:line="360" w:lineRule="auto"/>
        <w:ind w:firstLine="560" w:firstLineChars="200"/>
        <w:jc w:val="right"/>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                    </w:t>
      </w:r>
      <w:r>
        <w:rPr>
          <w:rFonts w:hint="eastAsia" w:ascii="仿宋" w:hAnsi="仿宋" w:eastAsia="仿宋" w:cs="仿宋"/>
          <w:color w:val="auto"/>
          <w:sz w:val="28"/>
          <w:szCs w:val="28"/>
          <w:highlight w:val="none"/>
        </w:rPr>
        <w:t xml:space="preserve">投标供应商名称（公章或自然人印鉴章）：杭州研数科技有限公司（验收演示）</w:t>
      </w:r>
      <w:r>
        <w:rPr>
          <w:rFonts w:hint="eastAsia" w:ascii="仿宋" w:hAnsi="仿宋" w:eastAsia="仿宋" w:cs="仿宋"/>
          <w:color w:val="auto"/>
          <w:sz w:val="28"/>
          <w:szCs w:val="28"/>
          <w:highlight w:val="none"/>
        </w:rPr>
        <w:t xml:space="preserve"> </w:t>
      </w:r>
    </w:p>
    <w:p w14:paraId="6DC895B6">
      <w:pPr>
        <w:spacing w:line="360" w:lineRule="auto"/>
        <w:ind w:firstLine="560" w:firstLineChars="200"/>
        <w:jc w:val="right"/>
        <w:rPr>
          <w:rFonts w:hint="eastAsia" w:ascii="仿宋" w:hAnsi="仿宋" w:eastAsia="仿宋" w:cs="仿宋"/>
          <w:color w:val="auto"/>
          <w:sz w:val="28"/>
          <w:szCs w:val="28"/>
          <w:highlight w:val="none"/>
        </w:rPr>
      </w:pPr>
    </w:p>
    <w:p w14:paraId="28B4AB47">
      <w:pPr>
        <w:widowControl/>
        <w:spacing w:line="360" w:lineRule="auto"/>
        <w:ind w:firstLine="560" w:firstLineChars="200"/>
        <w:jc w:val="center"/>
        <w:rPr>
          <w:rFonts w:hint="eastAsia" w:ascii="仿宋" w:hAnsi="仿宋" w:eastAsia="仿宋" w:cs="仿宋"/>
          <w:color w:val="auto"/>
          <w:sz w:val="28"/>
          <w:szCs w:val="28"/>
          <w:highlight w:val="none"/>
        </w:rPr>
      </w:pPr>
      <w:r>
        <w:rPr>
          <w:rFonts w:hint="eastAsia" w:ascii="仿宋" w:hAnsi="仿宋" w:eastAsia="仿宋" w:cs="仿宋"/>
          <w:color w:val="auto"/>
          <w:sz w:val="28"/>
          <w:szCs w:val="28"/>
          <w:highlight w:val="none"/>
        </w:rPr>
        <w:t xml:space="preserve">2026 年 8 月 19 日</w:t>
      </w:r>
      <w:r>
        <w:rPr>
          <w:rFonts w:hint="eastAsia" w:ascii="仿宋" w:hAnsi="仿宋" w:eastAsia="仿宋" w:cs="仿宋"/>
          <w:color w:val="auto"/>
          <w:sz w:val="28"/>
          <w:szCs w:val="28"/>
          <w:highlight w:val="none"/>
        </w:rPr>
        <w:br w:type="page"/>
      </w:r>
    </w:p>
    <w:p>
      <w:pPr>
        <w:pStyle w:val="Heading2"/>
      </w:pPr>
      <w:r>
        <w:t>7.8 无违法违纪或不良记录承诺函（格式7-8）</w:t>
      </w:r>
    </w:p>
    <w:p w14:paraId="5F4DEDEF">
      <w:pPr>
        <w:widowControl/>
        <w:spacing w:line="360" w:lineRule="auto"/>
        <w:ind w:firstLine="643" w:firstLineChars="200"/>
        <w:jc w:val="center"/>
        <w:rPr>
          <w:rFonts w:hint="eastAsia" w:ascii="仿宋" w:hAnsi="仿宋" w:eastAsia="仿宋" w:cs="仿宋"/>
          <w:b/>
          <w:bCs/>
          <w:color w:val="auto"/>
          <w:kern w:val="0"/>
          <w:sz w:val="32"/>
          <w:szCs w:val="32"/>
          <w:highlight w:val="none"/>
          <w:lang w:val="en-US" w:eastAsia="zh-CN" w:bidi="ar-SA"/>
        </w:rPr>
      </w:pPr>
      <w:r>
        <w:rPr>
          <w:rFonts w:hint="eastAsia" w:ascii="仿宋" w:hAnsi="仿宋" w:eastAsia="仿宋" w:cs="仿宋"/>
          <w:b/>
          <w:bCs/>
          <w:color w:val="auto"/>
          <w:kern w:val="0"/>
          <w:sz w:val="32"/>
          <w:szCs w:val="32"/>
          <w:highlight w:val="none"/>
          <w:lang w:val="en-US" w:eastAsia="zh-CN" w:bidi="ar-SA"/>
        </w:rPr>
        <w:t>7-8在经营活动中没有违法违纪或不良记录（未被列入黑名单）的承诺函（格式）</w:t>
      </w:r>
      <w:bookmarkEnd w:id="209"/>
      <w:bookmarkEnd w:id="210"/>
      <w:bookmarkEnd w:id="211"/>
    </w:p>
    <w:p w14:paraId="7317E985">
      <w:pPr>
        <w:pStyle w:val="26"/>
        <w:pageBreakBefore w:val="0"/>
        <w:kinsoku/>
        <w:wordWrap/>
        <w:overflowPunct/>
        <w:topLinePunct w:val="0"/>
        <w:bidi w:val="0"/>
        <w:spacing w:beforeAutospacing="0" w:line="360" w:lineRule="auto"/>
        <w:ind w:left="0" w:leftChars="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致：赣州银行股份有限公司</w:t>
      </w:r>
    </w:p>
    <w:p w14:paraId="70A43150">
      <w:pPr>
        <w:pageBreakBefore w:val="0"/>
        <w:widowControl/>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lang w:eastAsia="zh-CN"/>
        </w:rPr>
      </w:pPr>
      <w:r>
        <w:rPr>
          <w:rFonts w:hint="eastAsia" w:ascii="仿宋" w:hAnsi="仿宋" w:eastAsia="仿宋" w:cs="仿宋"/>
          <w:smallCaps w:val="0"/>
          <w:kern w:val="0"/>
          <w:sz w:val="28"/>
          <w:szCs w:val="28"/>
          <w:highlight w:val="none"/>
        </w:rPr>
        <w:t xml:space="preserve">我公司愿意针对</w:t>
      </w:r>
      <w:r>
        <w:rPr>
          <w:rFonts w:hint="eastAsia" w:ascii="仿宋" w:hAnsi="仿宋" w:eastAsia="仿宋" w:cs="仿宋"/>
          <w:smallCaps w:val="0"/>
          <w:kern w:val="0"/>
          <w:sz w:val="28"/>
          <w:szCs w:val="28"/>
          <w:highlight w:val="none"/>
        </w:rPr>
        <w:t xml:space="preserve">赣州银行2026年度外部数据供应商入围采购项目进行投标</w:t>
      </w:r>
      <w:r>
        <w:rPr>
          <w:rFonts w:hint="eastAsia" w:ascii="仿宋" w:hAnsi="仿宋" w:eastAsia="仿宋" w:cs="仿宋"/>
          <w:smallCaps w:val="0"/>
          <w:kern w:val="0"/>
          <w:sz w:val="28"/>
          <w:szCs w:val="28"/>
          <w:highlight w:val="none"/>
          <w:lang w:eastAsia="zh-CN"/>
        </w:rPr>
        <w:t>，并承诺如下：</w:t>
      </w:r>
    </w:p>
    <w:p w14:paraId="7F8E80C5">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我司</w:t>
      </w:r>
      <w:r>
        <w:rPr>
          <w:rFonts w:hint="eastAsia" w:ascii="仿宋" w:hAnsi="仿宋" w:eastAsia="仿宋" w:cs="仿宋"/>
          <w:smallCaps w:val="0"/>
          <w:kern w:val="0"/>
          <w:sz w:val="28"/>
          <w:szCs w:val="28"/>
          <w:highlight w:val="none"/>
        </w:rPr>
        <w:t>具有完成本招标项目的技术力量，</w:t>
      </w:r>
      <w:r>
        <w:rPr>
          <w:rFonts w:hint="eastAsia" w:ascii="仿宋" w:hAnsi="仿宋" w:eastAsia="仿宋" w:cs="仿宋"/>
          <w:smallCaps w:val="0"/>
          <w:kern w:val="0"/>
          <w:sz w:val="28"/>
          <w:szCs w:val="28"/>
          <w:highlight w:val="none"/>
          <w:lang w:eastAsia="zh-CN"/>
        </w:rPr>
        <w:t>且</w:t>
      </w:r>
      <w:r>
        <w:rPr>
          <w:rFonts w:hint="eastAsia" w:ascii="仿宋" w:hAnsi="仿宋" w:eastAsia="仿宋" w:cs="仿宋"/>
          <w:smallCaps w:val="0"/>
          <w:kern w:val="0"/>
          <w:sz w:val="28"/>
          <w:szCs w:val="28"/>
          <w:highlight w:val="none"/>
        </w:rPr>
        <w:t>参加本项目的采购活动的</w:t>
      </w:r>
      <w:r>
        <w:rPr>
          <w:rFonts w:hint="eastAsia" w:ascii="仿宋" w:hAnsi="仿宋" w:eastAsia="仿宋" w:cs="仿宋"/>
          <w:smallCaps w:val="0"/>
          <w:kern w:val="0"/>
          <w:sz w:val="28"/>
          <w:szCs w:val="28"/>
          <w:highlight w:val="none"/>
          <w:lang w:eastAsia="zh-CN"/>
        </w:rPr>
        <w:t xml:space="preserve">近三年（2023年1月1日至2026年8月20日）</w:t>
      </w:r>
      <w:r>
        <w:rPr>
          <w:rFonts w:hint="eastAsia" w:ascii="仿宋" w:hAnsi="仿宋" w:eastAsia="仿宋" w:cs="仿宋"/>
          <w:smallCaps w:val="0"/>
          <w:kern w:val="0"/>
          <w:sz w:val="28"/>
          <w:szCs w:val="28"/>
          <w:highlight w:val="none"/>
        </w:rPr>
        <w:t>内在经营活动中没有违法违纪或不良记录（未被列入黑名单），符合相关法律、行政法规、规范性文件规定的其他条件。</w:t>
      </w:r>
      <w:r>
        <w:rPr>
          <w:rFonts w:hint="eastAsia" w:ascii="仿宋" w:hAnsi="仿宋" w:eastAsia="仿宋" w:cs="仿宋"/>
          <w:smallCaps w:val="0"/>
          <w:kern w:val="0"/>
          <w:sz w:val="28"/>
          <w:szCs w:val="28"/>
          <w:highlight w:val="none"/>
          <w:lang w:eastAsia="zh-CN"/>
        </w:rPr>
        <w:t>我司已</w:t>
      </w:r>
      <w:r>
        <w:rPr>
          <w:rFonts w:hint="eastAsia" w:ascii="仿宋" w:hAnsi="仿宋" w:eastAsia="仿宋" w:cs="仿宋"/>
          <w:smallCaps w:val="0"/>
          <w:kern w:val="0"/>
          <w:sz w:val="28"/>
          <w:szCs w:val="28"/>
          <w:highlight w:val="none"/>
        </w:rPr>
        <w:t>仔细阅读</w:t>
      </w:r>
      <w:r>
        <w:rPr>
          <w:rFonts w:hint="eastAsia" w:ascii="仿宋" w:hAnsi="仿宋" w:eastAsia="仿宋" w:cs="仿宋"/>
          <w:smallCaps w:val="0"/>
          <w:kern w:val="0"/>
          <w:sz w:val="28"/>
          <w:szCs w:val="28"/>
          <w:highlight w:val="none"/>
          <w:lang w:eastAsia="zh-CN"/>
        </w:rPr>
        <w:t>招标</w:t>
      </w:r>
      <w:r>
        <w:rPr>
          <w:rFonts w:hint="eastAsia" w:ascii="仿宋" w:hAnsi="仿宋" w:eastAsia="仿宋" w:cs="仿宋"/>
          <w:smallCaps w:val="0"/>
          <w:kern w:val="0"/>
          <w:sz w:val="28"/>
          <w:szCs w:val="28"/>
          <w:highlight w:val="none"/>
        </w:rPr>
        <w:t>文件的所有内容，</w:t>
      </w:r>
      <w:r>
        <w:rPr>
          <w:rFonts w:hint="eastAsia" w:ascii="仿宋" w:hAnsi="仿宋" w:eastAsia="仿宋" w:cs="仿宋"/>
          <w:smallCaps w:val="0"/>
          <w:kern w:val="0"/>
          <w:sz w:val="28"/>
          <w:szCs w:val="28"/>
          <w:highlight w:val="none"/>
          <w:lang w:eastAsia="zh-CN"/>
        </w:rPr>
        <w:t>并</w:t>
      </w:r>
      <w:r>
        <w:rPr>
          <w:rFonts w:hint="eastAsia" w:ascii="仿宋" w:hAnsi="仿宋" w:eastAsia="仿宋" w:cs="仿宋"/>
          <w:smallCaps w:val="0"/>
          <w:kern w:val="0"/>
          <w:sz w:val="28"/>
          <w:szCs w:val="28"/>
          <w:highlight w:val="none"/>
        </w:rPr>
        <w:t>按招标文件的具体要求作出实质性响应，同时</w:t>
      </w:r>
      <w:r>
        <w:rPr>
          <w:rFonts w:hint="eastAsia" w:ascii="仿宋" w:hAnsi="仿宋" w:eastAsia="仿宋" w:cs="仿宋"/>
          <w:smallCaps w:val="0"/>
          <w:kern w:val="0"/>
          <w:sz w:val="28"/>
          <w:szCs w:val="28"/>
          <w:highlight w:val="none"/>
          <w:lang w:eastAsia="zh-CN"/>
        </w:rPr>
        <w:t>我司</w:t>
      </w:r>
      <w:r>
        <w:rPr>
          <w:rFonts w:hint="eastAsia" w:ascii="仿宋" w:hAnsi="仿宋" w:eastAsia="仿宋" w:cs="仿宋"/>
          <w:smallCaps w:val="0"/>
          <w:kern w:val="0"/>
          <w:sz w:val="28"/>
          <w:szCs w:val="28"/>
          <w:highlight w:val="none"/>
        </w:rPr>
        <w:t>保证所提供资料的真实性，否则，</w:t>
      </w:r>
      <w:r>
        <w:rPr>
          <w:rFonts w:hint="eastAsia" w:ascii="仿宋" w:hAnsi="仿宋" w:eastAsia="仿宋" w:cs="仿宋"/>
          <w:smallCaps w:val="0"/>
          <w:kern w:val="0"/>
          <w:sz w:val="28"/>
          <w:szCs w:val="28"/>
          <w:highlight w:val="none"/>
          <w:lang w:eastAsia="zh-CN"/>
        </w:rPr>
        <w:t>我司</w:t>
      </w:r>
      <w:r>
        <w:rPr>
          <w:rFonts w:hint="eastAsia" w:ascii="仿宋" w:hAnsi="仿宋" w:eastAsia="仿宋" w:cs="仿宋"/>
          <w:smallCaps w:val="0"/>
          <w:kern w:val="0"/>
          <w:sz w:val="28"/>
          <w:szCs w:val="28"/>
          <w:highlight w:val="none"/>
        </w:rPr>
        <w:t>投标将被拒绝。所提供的所有资质文件</w:t>
      </w:r>
      <w:r>
        <w:rPr>
          <w:rFonts w:hint="eastAsia" w:ascii="仿宋" w:hAnsi="仿宋" w:eastAsia="仿宋" w:cs="仿宋"/>
          <w:smallCaps w:val="0"/>
          <w:kern w:val="0"/>
          <w:sz w:val="28"/>
          <w:szCs w:val="28"/>
          <w:highlight w:val="none"/>
          <w:lang w:eastAsia="zh-CN"/>
        </w:rPr>
        <w:t>保证</w:t>
      </w:r>
      <w:r>
        <w:rPr>
          <w:rFonts w:hint="eastAsia" w:ascii="仿宋" w:hAnsi="仿宋" w:eastAsia="仿宋" w:cs="仿宋"/>
          <w:smallCaps w:val="0"/>
          <w:kern w:val="0"/>
          <w:sz w:val="28"/>
          <w:szCs w:val="28"/>
          <w:highlight w:val="none"/>
        </w:rPr>
        <w:t>真实，且与</w:t>
      </w:r>
      <w:r>
        <w:rPr>
          <w:rFonts w:hint="eastAsia" w:ascii="仿宋" w:hAnsi="仿宋" w:eastAsia="仿宋" w:cs="仿宋"/>
          <w:smallCaps w:val="0"/>
          <w:kern w:val="0"/>
          <w:sz w:val="28"/>
          <w:szCs w:val="28"/>
          <w:highlight w:val="none"/>
          <w:lang w:eastAsia="zh-CN"/>
        </w:rPr>
        <w:t>我司</w:t>
      </w:r>
      <w:r>
        <w:rPr>
          <w:rFonts w:hint="eastAsia" w:ascii="仿宋" w:hAnsi="仿宋" w:eastAsia="仿宋" w:cs="仿宋"/>
          <w:smallCaps w:val="0"/>
          <w:kern w:val="0"/>
          <w:sz w:val="28"/>
          <w:szCs w:val="28"/>
          <w:highlight w:val="none"/>
        </w:rPr>
        <w:t>主体一致。</w:t>
      </w:r>
    </w:p>
    <w:p w14:paraId="6BA1CDB9">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特此声明！</w:t>
      </w:r>
    </w:p>
    <w:p w14:paraId="2DA0AB4F">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p>
    <w:p w14:paraId="7DD92B0A">
      <w:pPr>
        <w:pStyle w:val="26"/>
        <w:pageBreakBefore w:val="0"/>
        <w:kinsoku/>
        <w:wordWrap/>
        <w:overflowPunct/>
        <w:topLinePunct w:val="0"/>
        <w:bidi w:val="0"/>
        <w:spacing w:beforeAutospacing="0" w:line="360" w:lineRule="auto"/>
        <w:ind w:left="0" w:leftChars="0" w:firstLine="560" w:firstLineChars="200"/>
        <w:jc w:val="left"/>
        <w:rPr>
          <w:rFonts w:hint="eastAsia" w:ascii="仿宋" w:hAnsi="仿宋" w:eastAsia="仿宋" w:cs="仿宋"/>
          <w:smallCaps w:val="0"/>
          <w:kern w:val="0"/>
          <w:sz w:val="28"/>
          <w:szCs w:val="28"/>
          <w:highlight w:val="none"/>
        </w:rPr>
      </w:pPr>
    </w:p>
    <w:p w14:paraId="3485455E">
      <w:pPr>
        <w:pageBreakBefore w:val="0"/>
        <w:widowControl/>
        <w:kinsoku/>
        <w:wordWrap/>
        <w:overflowPunct/>
        <w:topLinePunct w:val="0"/>
        <w:bidi w:val="0"/>
        <w:spacing w:beforeAutospacing="0" w:line="360" w:lineRule="auto"/>
        <w:ind w:left="0" w:leftChars="0" w:firstLine="5320" w:firstLineChars="1900"/>
        <w:jc w:val="left"/>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lang w:eastAsia="zh-CN"/>
        </w:rPr>
        <w:t xml:space="preserve">投标供应商名称（公章）：杭州研数科技有限公司（验收演示）</w:t>
      </w:r>
    </w:p>
    <w:p w14:paraId="7A322AB4">
      <w:pPr>
        <w:pageBreakBefore w:val="0"/>
        <w:widowControl/>
        <w:kinsoku/>
        <w:wordWrap/>
        <w:overflowPunct/>
        <w:topLinePunct w:val="0"/>
        <w:bidi w:val="0"/>
        <w:spacing w:beforeAutospacing="0" w:line="360" w:lineRule="auto"/>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                    </w:t>
      </w:r>
      <w:r>
        <w:rPr>
          <w:rFonts w:hint="eastAsia" w:ascii="仿宋" w:hAnsi="仿宋" w:eastAsia="仿宋" w:cs="仿宋"/>
          <w:smallCaps w:val="0"/>
          <w:kern w:val="0"/>
          <w:sz w:val="28"/>
          <w:szCs w:val="28"/>
          <w:highlight w:val="none"/>
        </w:rPr>
        <w:t xml:space="preserve">法定代表人（经营者）（签字或盖章）：陈演示（总经理）</w:t>
      </w:r>
      <w:r>
        <w:rPr>
          <w:rFonts w:hint="eastAsia" w:ascii="仿宋" w:hAnsi="仿宋" w:eastAsia="仿宋" w:cs="仿宋"/>
          <w:smallCaps w:val="0"/>
          <w:kern w:val="0"/>
          <w:sz w:val="28"/>
          <w:szCs w:val="28"/>
          <w:highlight w:val="none"/>
        </w:rPr>
        <w:t xml:space="preserve">        </w:t>
      </w:r>
    </w:p>
    <w:p w14:paraId="3614BDA2">
      <w:pPr>
        <w:widowControl/>
        <w:kinsoku/>
        <w:wordWrap/>
        <w:overflowPunct/>
        <w:topLinePunct w:val="0"/>
        <w:bidi w:val="0"/>
        <w:spacing w:line="360" w:lineRule="auto"/>
        <w:ind w:firstLine="5600" w:firstLineChars="2000"/>
        <w:rPr>
          <w:rFonts w:hint="eastAsia" w:ascii="仿宋" w:hAnsi="仿宋" w:eastAsia="仿宋" w:cs="仿宋"/>
          <w:smallCaps w:val="0"/>
          <w:kern w:val="0"/>
          <w:sz w:val="28"/>
          <w:szCs w:val="28"/>
          <w:highlight w:val="none"/>
        </w:rPr>
      </w:pPr>
      <w:r>
        <w:rPr>
          <w:rFonts w:hint="eastAsia" w:ascii="仿宋" w:hAnsi="仿宋" w:eastAsia="仿宋" w:cs="仿宋"/>
          <w:smallCaps w:val="0"/>
          <w:kern w:val="0"/>
          <w:sz w:val="28"/>
          <w:szCs w:val="28"/>
          <w:highlight w:val="none"/>
        </w:rPr>
        <w:t xml:space="preserve">2026 年 8 月 19 日</w:t>
      </w:r>
    </w:p>
    <w:p>
      <w:pPr>
        <w:pStyle w:val="Heading2"/>
      </w:pPr>
      <w:r>
        <w:t>7.9 管理体系与资质证书复印件</w:t>
      </w:r>
    </w:p>
    <w:p>
      <w:pPr>
        <w:pStyle w:val="TenderBody"/>
      </w:pPr>
      <w:r>
        <w:t>按招标文件评分标准中通用技术能力要求，我方提供以下管理体系与资质证书复印件（加盖公章）：</w:t>
      </w:r>
    </w:p>
    <w:p>
      <w:pPr>
        <w:pStyle w:val="TenderBody"/>
      </w:pPr>
      <w:commentRangeStart w:id="18"/>
      <w:r>
        <w:t>（此处贴入：质量管理体系认证证书（ISO9001）复印件，加盖投标供应商公章）</w:t>
      </w:r>
      <w:commentRangeEnd w:id="18"/>
      <w:r>
        <w:rPr>
          <w:rStyle w:val="CommentReference"/>
        </w:rPr>
        <w:commentReference w:id="18"/>
      </w:r>
    </w:p>
    <w:p>
      <w:pPr>
        <w:pStyle w:val="TenderBody"/>
      </w:pPr>
      <w:commentRangeStart w:id="19"/>
      <w:r>
        <w:t>（此处贴入：信息安全管理体系认证证书（ISO27001）复印件，加盖投标供应商公章）</w:t>
      </w:r>
      <w:commentRangeEnd w:id="19"/>
      <w:r>
        <w:rPr>
          <w:rStyle w:val="CommentReference"/>
        </w:rPr>
        <w:commentReference w:id="19"/>
      </w:r>
    </w:p>
    <w:p>
      <w:pPr>
        <w:pStyle w:val="TenderBody"/>
      </w:pPr>
      <w:commentRangeStart w:id="20"/>
      <w:r>
        <w:t>（此处贴入：信息技术服务管理体系认证证书（ISO20000）复印件，加盖投标供应商公章）</w:t>
      </w:r>
      <w:commentRangeEnd w:id="20"/>
      <w:r>
        <w:rPr>
          <w:rStyle w:val="CommentReference"/>
        </w:rPr>
        <w:commentReference w:id="20"/>
      </w:r>
    </w:p>
    <w:p>
      <w:pPr>
        <w:pStyle w:val="TenderBody"/>
      </w:pPr>
      <w:commentRangeStart w:id="21"/>
      <w:r>
        <w:t>（此处贴入：数据管理能力成熟度评估证书（DCMM，2级以上）复印件，加盖投标供应商公章）</w:t>
      </w:r>
      <w:commentRangeEnd w:id="21"/>
      <w:r>
        <w:rPr>
          <w:rStyle w:val="CommentReference"/>
        </w:rPr>
        <w:commentReference w:id="21"/>
      </w:r>
    </w:p>
    <w:p>
      <w:pPr>
        <w:pStyle w:val="TenderBody"/>
      </w:pPr>
      <w:commentRangeStart w:id="22"/>
      <w:r>
        <w:t>（此处贴入：信息系统安全等级保护备案证明复印件，加盖投标供应商公章）</w:t>
      </w:r>
      <w:commentRangeEnd w:id="22"/>
      <w:r>
        <w:rPr>
          <w:rStyle w:val="CommentReference"/>
        </w:rPr>
        <w:commentReference w:id="22"/>
      </w:r>
    </w:p>
    <w:sectPr w:rsidR="00FC693F" w:rsidRPr="0006063C" w:rsidSect="00034616">
      <w:footerReference w:type="default" r:id="rId9"/>
      <w:pgSz w:w="11906" w:h="16838"/>
      <w:pgMar w:top="1440" w:right="1803" w:bottom="1440" w:left="1803" w:header="850" w:footer="992" w:gutter="0"/>
      <w:cols w:space="720"/>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灵燕智能" w:initials="AI" w:date="2026-10-12T18:03:00Z">
    <w:p>
      <w:pPr>
        <w:pStyle w:val="CommentText"/>
      </w:pPr>
      <w:r>
        <w:rPr>
          <w:rStyle w:val="CommentReference"/>
        </w:rPr>
        <w:annotationRef/>
      </w:r>
      <w:r>
        <w:t>待办：正式投标前须由签字代表王验收实际签字（签字代表非法定代表人，另须附格式7-4法定代表人授权书）并加盖杭州研数科技有限公司公章；本次为验收演示环境，未做实际签字盖章，待正式补签。</w:t>
      </w:r>
    </w:p>
  </w:comment>
  <w:comment w:id="1" w:author="灵燕智能" w:initials="AI" w:date="2026-10-12T18:03:00Z">
    <w:p>
      <w:pPr>
        <w:pStyle w:val="CommentText"/>
      </w:pPr>
      <w:r>
        <w:rPr>
          <w:rStyle w:val="CommentReference"/>
        </w:rPr>
        <w:annotationRef/>
      </w:r>
      <w:r>
        <w:t>验收演示：页码以合册后实际页码为准；「页码范围」列为演示占位值（按 20 页整册推算），正式投标前须逐行核改。本清单共 10 行（原件表格容量）：行 10 将三封时效承诺函（格式6-2至6-4）合并列示，其余章节（服务团队清单、数据质量监控与增值服务承诺、合规承诺函、数据源授权承诺函、技术文档与培训、资格证明文件 7-1 至 7-8、管理体系与资质证书复印件）未占行——原件表格固定 10 行、无法增行，正式投标时建议将多函合并行扩展或将各函分章列示，请用户裁决清单粒度的最终形态。</w:t>
      </w:r>
    </w:p>
  </w:comment>
  <w:comment w:id="2" w:author="灵燕智能" w:initials="AI" w:date="2026-10-12T18:03:00Z">
    <w:p>
      <w:pPr>
        <w:pStyle w:val="CommentText"/>
      </w:pPr>
      <w:r>
        <w:rPr>
          <w:rStyle w:val="CommentReference"/>
        </w:rPr>
        <w:annotationRef/>
      </w:r>
      <w:r>
        <w:t>签字盖章与公章栏为演示占位：正式投标前由法定代表人陈演示（总经理）或授权代表王验收签字/盖章。表内第 1 行为演示填写「完全响应」，正式投标前须对照所投产品逐项复核、按需增补偏离行（原件表格固定 4 行空行，无法程序增行）。</w:t>
      </w:r>
    </w:p>
  </w:comment>
  <w:comment w:id="3" w:author="灵燕智能" w:initials="AI" w:date="2026-10-12T18:03:00Z">
    <w:p>
      <w:pPr>
        <w:pStyle w:val="CommentText"/>
      </w:pPr>
      <w:r>
        <w:rPr>
          <w:rStyle w:val="CommentReference"/>
        </w:rPr>
        <w:annotationRef/>
      </w:r>
      <w:r>
        <w:t>验收演示：新增的双人复核质量措施为演示填写；正式投标前须落实真实复核岗位与人员名单（数据技术对接人+专属客户经理各1人），并保留复核记录备查。</w:t>
      </w:r>
    </w:p>
  </w:comment>
  <w:comment w:id="4" w:author="灵燕智能" w:initials="AI" w:date="2026-10-12T18:03:00Z">
    <w:p>
      <w:pPr>
        <w:pStyle w:val="CommentText"/>
      </w:pPr>
      <w:r>
        <w:rPr>
          <w:rStyle w:val="CommentReference"/>
        </w:rPr>
        <w:annotationRef/>
      </w:r>
      <w:r>
        <w:t>签字盖章与公章栏为演示占位：正式投标前由法定代表人陈演示（总经理）或授权代表王验收签字/盖章。第 1 行商务条款演示为「完全响应（验收演示）」，正式投标前须按正式报价口径与商务要求逐项复核。</w:t>
      </w:r>
    </w:p>
  </w:comment>
  <w:comment w:id="5" w:author="灵燕智能" w:initials="AI" w:date="2026-10-12T18:03:00Z">
    <w:p>
      <w:pPr>
        <w:pStyle w:val="CommentText"/>
      </w:pPr>
      <w:r>
        <w:rPr>
          <w:rStyle w:val="CommentReference"/>
        </w:rPr>
        <w:annotationRef/>
      </w:r>
      <w:r>
        <w:t>本节为商务分·实施案例响应。已按 3-5 金融、3-13 资讯两个细类各填 1 个演示案例名并标注「验收演示」；知识库中无近 3 年商业银行外部数据采购的真实合同案例。正式投标前需补证：近 3 年商业银行外部数据采购案例的对应合同复印件+真实性证明（资格要件），并请确认案例名称、对应细类是否需按真实合同调整；未列入的其他细类栏位按模板「无案例无需填写」留空。</w:t>
      </w:r>
    </w:p>
  </w:comment>
  <w:comment w:id="6" w:author="灵燕智能" w:initials="AI" w:date="2026-10-12T18:03:00Z">
    <w:p>
      <w:pPr>
        <w:pStyle w:val="CommentText"/>
      </w:pPr>
      <w:r>
        <w:rPr>
          <w:rStyle w:val="CommentReference"/>
        </w:rPr>
        <w:annotationRef/>
      </w:r>
      <w:r>
        <w:t>素材「数据管理架构和制度」小节为历史项目通用内容且含旧素材标题，验收演示环境不展开；正式投标前须按本主体实际数据管理体系重写该小节并注入素材适用区间。</w:t>
      </w:r>
    </w:p>
  </w:comment>
  <w:comment w:id="7" w:author="灵燕智能" w:initials="AI" w:date="2026-10-12T18:03:00Z">
    <w:p>
      <w:pPr>
        <w:pStyle w:val="CommentText"/>
      </w:pPr>
      <w:r>
        <w:rPr>
          <w:rStyle w:val="CommentReference"/>
        </w:rPr>
        <w:annotationRef/>
      </w:r>
      <w:r>
        <w:t>validate_body 对程序生成的两张分层图示（docx_diagram_insert 的 layered 表格，整体技术架构分层、数据交互模式）报「整行为竖线拼的 markdown 表格残字」——系图示生成器自带的层间箭头行（↓）触发的误报，非正文手写表格；已把 ↓ 替换为文字说明但校验仍报（疑似按行首字符判定）。请主线程在合册前人工核对图示渲染效果，无问题可忽略。</w:t>
      </w:r>
    </w:p>
  </w:comment>
  <w:comment w:id="8" w:author="灵燕智能" w:initials="AI" w:date="2026-10-12T18:03:00Z">
    <w:p>
      <w:pPr>
        <w:pStyle w:val="CommentText"/>
      </w:pPr>
      <w:r>
        <w:rPr>
          <w:rStyle w:val="CommentReference"/>
        </w:rPr>
        <w:annotationRef/>
      </w:r>
      <w:r>
        <w:t>本节「公安部信息系统安全等级保护备案三级证书」两张证书图为素材底稿（历史项目）原件。需确认是否为杭州研数科技有限公司（验收演示）名下的有效等保备案证书：若是，保留即可；若否，请提供我方证书扫描件替换，或告知本段改为文字陈述「系统已通过等级保护测评」并删除证书图。</w:t>
      </w:r>
    </w:p>
  </w:comment>
  <w:comment w:id="9" w:author="灵燕智能" w:initials="AI" w:date="2026-10-12T18:03:00Z">
    <w:p>
      <w:pPr>
        <w:pStyle w:val="CommentText"/>
      </w:pPr>
      <w:r>
        <w:rPr>
          <w:rStyle w:val="CommentReference"/>
        </w:rPr>
        <w:annotationRef/>
      </w:r>
      <w:r>
        <w:t>本函正文承诺 T+2 数据更新标准（取承诺清单最低演示值）。正式投标前需按中标品类与上游官方数据源实际更新节奏确认 T+X 的具体 X 值，并核对是否满足招标文件各品类对数据更新时效的差异化要求。</w:t>
      </w:r>
    </w:p>
  </w:comment>
  <w:comment w:id="10" w:author="灵燕智能" w:initials="AI" w:date="2026-10-12T18:03:00Z">
    <w:p>
      <w:pPr>
        <w:pStyle w:val="CommentText"/>
      </w:pPr>
      <w:r>
        <w:rPr>
          <w:rStyle w:val="CommentReference"/>
        </w:rPr>
        <w:annotationRef/>
      </w:r>
      <w:r>
        <w:t>本函正文保留招标模板自带值「1 个工作日内配合招标人处理并出具异议处理方案」（最低档，取承诺清单）。正式投标前可评估是否承诺更优档位（如 24 小时内响应+2 个工作日内方案）以提升技术分。</w:t>
      </w:r>
    </w:p>
  </w:comment>
  <w:comment w:id="11" w:author="灵燕智能" w:initials="AI" w:date="2026-10-12T18:03:00Z">
    <w:p>
      <w:pPr>
        <w:pStyle w:val="CommentText"/>
      </w:pPr>
      <w:r>
        <w:rPr>
          <w:rStyle w:val="CommentReference"/>
        </w:rPr>
        <w:annotationRef/>
      </w:r>
      <w:r>
        <w:t>本函正文保留招标模板自带值「3 个工作日内响应」（最低档，取承诺清单）。正式投标前可评估是否承诺更优响应档位（如 4 小时内响应）以提升技术分。另：本文件尾部注入的 5×9 汇总清单表（T1）实际为 6-5 服务团队清单的开头元素，已超出 6-4 的 L694-L705 边界，合册时主线程按目录树序剥离，勿在本节正文重复使用。</w:t>
      </w:r>
    </w:p>
  </w:comment>
  <w:comment w:id="12" w:author="灵燕智能" w:initials="AI" w:date="2026-10-12T18:03:00Z">
    <w:p>
      <w:pPr>
        <w:pStyle w:val="CommentText"/>
      </w:pPr>
      <w:r>
        <w:rPr>
          <w:rStyle w:val="CommentReference"/>
        </w:rPr>
        <w:annotationRef/>
      </w:r>
      <w:r>
        <w:t>本节按承诺清单填 2 人：序号 1 专属客户经理（王演示A，30 岁/本科/3 年）、序号 2 数据技术对接人（李演示B，35 岁/本科/5 年），均为验收演示值，正式投标前须替换为真实拟投入人员姓名/年龄/学历/年限，并提供：①毕业证书复印件；②学位证书复印件；③政府相关单位开具的连续 6 个月社保证明；④汇总清单「材料所在页码」按正式文件实际页码回填（演示值 50-51/52-53 仅供版式参考）。模板自带第 3 人示例行（T4 分项表）已标注「无第 3 人」留白，因承诺清单仅投 2 人。</w:t>
      </w:r>
    </w:p>
  </w:comment>
  <w:comment w:id="13" w:author="灵燕智能" w:initials="AI" w:date="2026-10-12T18:03:00Z">
    <w:p>
      <w:pPr>
        <w:pStyle w:val="CommentText"/>
      </w:pPr>
      <w:r>
        <w:rPr>
          <w:rStyle w:val="CommentReference"/>
        </w:rPr>
        <w:annotationRef/>
      </w:r>
      <w:r>
        <w:t>缺料待办：本投标主体为验收演示快照主体（杭州研数科技有限公司（验收演示），统一社会信用代码 DEMO-ONLY-20261012），公司知识库中无其营业执照（五证合一）副本，正式投标前须由用户提供演示主体有效期内营业执照副本复印件并加盖公章后贴入此处（废标级资格件，缺了直接否决）。</w:t>
      </w:r>
    </w:p>
  </w:comment>
  <w:comment w:id="14" w:author="灵燕智能" w:initials="AI" w:date="2026-10-12T18:03:00Z">
    <w:p>
      <w:pPr>
        <w:pStyle w:val="CommentText"/>
      </w:pPr>
      <w:r>
        <w:rPr>
          <w:rStyle w:val="CommentReference"/>
        </w:rPr>
        <w:annotationRef/>
      </w:r>
      <w:r>
        <w:t>缺料待办（废标级资格要件）：本投标主体为验收演示快照主体，公司知识库中无其近3年内（合同签订日期2023年1月1日至投标截止日）与商业银行机构（国有银行、股份制银行、城商行、省级农商行/农信社等）直接签署的外部数据采购实施案例合同，正式投标前须由用户提供：①符合条件的实施案例合同复印件（含合同首页、采购内容、双方签字盖章页、签订日期页，加盖投标供应商公章，合同名称或采购内容须含本标段“数据细类”关键字之一）；②三选一的真实性证明（合同原件/官网中标公告截图+网址/中标通知书复印件）。</w:t>
      </w:r>
    </w:p>
  </w:comment>
  <w:comment w:id="15" w:author="灵燕智能" w:initials="AI" w:date="2026-10-12T18:03:00Z">
    <w:p>
      <w:pPr>
        <w:pStyle w:val="CommentText"/>
      </w:pPr>
      <w:r>
        <w:rPr>
          <w:rStyle w:val="CommentReference"/>
        </w:rPr>
        <w:annotationRef/>
      </w:r>
      <w:r>
        <w:t>法定代表人（陈演示）及被授权人（王验收）身份证明复印件（正、反两面）请贴入 T1 表内贴入位，加盖公章；本演示环境无真实证件扫描件，正式投标前需线下补齐。</w:t>
      </w:r>
    </w:p>
  </w:comment>
  <w:comment w:id="16" w:author="灵燕智能" w:initials="AI" w:date="2026-10-12T18:03:00Z">
    <w:p>
      <w:pPr>
        <w:pStyle w:val="CommentText"/>
      </w:pPr>
      <w:r>
        <w:rPr>
          <w:rStyle w:val="CommentReference"/>
        </w:rPr>
        <w:annotationRef/>
      </w:r>
      <w:r>
        <w:t>法定代表人（陈演示）身份证复印件（正、反两面）请贴入 T1 表内贴入位，加盖公章；本演示环境无真实证件扫描件，正式投标前需线下补齐。</w:t>
      </w:r>
    </w:p>
  </w:comment>
  <w:comment w:id="17" w:author="灵燕智能" w:initials="AI" w:date="2026-10-12T18:03:00Z">
    <w:p>
      <w:pPr>
        <w:pStyle w:val="CommentText"/>
      </w:pPr>
      <w:r>
        <w:rPr>
          <w:rStyle w:val="CommentReference"/>
        </w:rPr>
        <w:annotationRef/>
      </w:r>
      <w:r>
        <w:t>下方粘贴位需贴入实际转账银行凭证（复印件）：金额人民币1000元（壹仟元整），付款方=杭州研数科技有限公司（验收演示），收款方=江西省永晋招标咨询有限公司，付款账号=DEMO-0001。当前为演示快照值，正式投标前请替换为实际转账回单，并核对凭证信息与上表一致（代理机构将据此退保证金）。</w:t>
      </w:r>
    </w:p>
  </w:comment>
  <w:comment w:id="18" w:author="灵燕智能" w:initials="AI" w:date="2026-10-12T18:03:01Z">
    <w:p>
      <w:pPr>
        <w:pStyle w:val="CommentText"/>
      </w:pPr>
      <w:r>
        <w:rPr>
          <w:rStyle w:val="CommentReference"/>
        </w:rPr>
        <w:annotationRef/>
      </w:r>
      <w:r>
        <w:t>缺料待办：本投标主体为验收演示快照主体（杭州研数科技有限公司（验收演示）），公司知识库中无其 ISO9001 质量管理体系认证证书（旧主体 2015 年历史开户许可证一张不得当作本主体有效资质）。正式投标前须由用户提供演示主体有效期内 ISO9001 证书复印件并加盖公章后贴入此处。</w:t>
      </w:r>
    </w:p>
  </w:comment>
  <w:comment w:id="19" w:author="灵燕智能" w:initials="AI" w:date="2026-10-12T18:03:01Z">
    <w:p>
      <w:pPr>
        <w:pStyle w:val="CommentText"/>
      </w:pPr>
      <w:r>
        <w:rPr>
          <w:rStyle w:val="CommentReference"/>
        </w:rPr>
        <w:annotationRef/>
      </w:r>
      <w:r>
        <w:t>缺料待办：公司知识库中无演示主体 ISO27001 信息安全管理体系认证证书，正式投标前须由用户提供有效期内证书复印件并加盖公章后贴入此处。</w:t>
      </w:r>
    </w:p>
  </w:comment>
  <w:comment w:id="20" w:author="灵燕智能" w:initials="AI" w:date="2026-10-12T18:03:01Z">
    <w:p>
      <w:pPr>
        <w:pStyle w:val="CommentText"/>
      </w:pPr>
      <w:r>
        <w:rPr>
          <w:rStyle w:val="CommentReference"/>
        </w:rPr>
        <w:annotationRef/>
      </w:r>
      <w:r>
        <w:t>缺料待办：公司知识库中无演示主体 ISO20000 信息技术服务管理体系认证证书，正式投标前须由用户提供有效期内证书复印件并加盖公章后贴入此处。</w:t>
      </w:r>
    </w:p>
  </w:comment>
  <w:comment w:id="21" w:author="灵燕智能" w:initials="AI" w:date="2026-10-12T18:03:01Z">
    <w:p>
      <w:pPr>
        <w:pStyle w:val="CommentText"/>
      </w:pPr>
      <w:r>
        <w:rPr>
          <w:rStyle w:val="CommentReference"/>
        </w:rPr>
        <w:annotationRef/>
      </w:r>
      <w:r>
        <w:t>缺料待办：公司知识库中无演示主体 DCMM 数据管理能力成熟度评估证书（须2级以上），正式投标前须由用户提供有效期内证书复印件并加盖公章后贴入此处。</w:t>
      </w:r>
    </w:p>
  </w:comment>
  <w:comment w:id="22" w:author="灵燕智能" w:initials="AI" w:date="2026-10-12T18:03:01Z">
    <w:p>
      <w:pPr>
        <w:pStyle w:val="CommentText"/>
      </w:pPr>
      <w:r>
        <w:rPr>
          <w:rStyle w:val="CommentReference"/>
        </w:rPr>
        <w:annotationRef/>
      </w:r>
      <w:r>
        <w:t>缺料待办：公司知识库中无演示主体信息系统安全等级保护备案证明，正式投标前须由用户提供有效期内备案证明复印件并加盖公章后贴入此处。</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1"/>
        <w:szCs w:val="21"/>
      </w:rPr>
      <w:fldChar w:fldCharType="begin"/>
    </w:r>
    <w:r>
      <w:rPr>
        <w:rFonts w:ascii="Times New Roman" w:hAnsi="Times New Roman" w:eastAsia="Times New Roman" w:cs="Times New Roman"/>
        <w:sz w:val="21"/>
        <w:szCs w:val="21"/>
      </w:rPr>
      <w:instrText xml:space="preserve"> PAGE </w:instrText>
    </w:r>
    <w:r>
      <w:rPr>
        <w:rFonts w:ascii="Times New Roman" w:hAnsi="Times New Roman" w:eastAsia="Times New Roman"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2">
    <w:nsid w:val="60262FE3"/>
    <w:multiLevelType w:val="singleLevel"/>
    <w:tmpl w:val="60262FE3"/>
    <w:lvl w:ilvl="0" w:tentative="0">
      <w:start w:val="1"/>
      <w:numFmt w:val="decimal"/>
      <w:suff w:val="space"/>
      <w:lvlText w:val="%1."/>
      <w:lvlJc w:val="left"/>
    </w:lvl>
  </w:abstractNum>
  <w:abstractNum w:abstractNumId="9">
    <w:nsid w:val="A395AA84"/>
    <w:multiLevelType w:val="singleLevel"/>
    <w:tmpl w:val="A395AA84"/>
    <w:lvl w:ilvl="0" w:tentative="0">
      <w:start w:val="1"/>
      <w:numFmt w:val="decimal"/>
      <w:suff w:val="space"/>
      <w:lvlText w:val="%1."/>
      <w:lvlJc w:val="left"/>
    </w:lvl>
  </w:abstractNum>
  <w:abstractNum w:abstractNumId="13">
    <w:nsid w:val="00000006"/>
    <w:multiLevelType w:val="multilevel"/>
    <w:tmpl w:val="00000006"/>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4">
    <w:nsid w:val="00000018"/>
    <w:multiLevelType w:val="multilevel"/>
    <w:tmpl w:val="0000001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A395AA84"/>
    <w:multiLevelType w:val="singleLevel"/>
    <w:tmpl w:val="A395AA84"/>
    <w:lvl w:ilvl="0" w:tentative="0">
      <w:start w:val="1"/>
      <w:numFmt w:val="decimal"/>
      <w:suff w:val="space"/>
      <w:lvlText w:val="%1."/>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3"/>
  </w:num>
  <w:num w:numId="13">
    <w:abstractNumId w:val="14"/>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260" w:line="240" w:lineRule="auto"/>
      <w:outlineLvl w:val="0"/>
    </w:pPr>
    <w:rPr>
      <w:rFonts w:ascii="黑体" w:hAnsi="黑体" w:eastAsia="黑体" w:cs="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260" w:line="240" w:lineRule="auto"/>
      <w:outlineLvl w:val="1"/>
    </w:pPr>
    <w:rPr>
      <w:rFonts w:ascii="黑体" w:hAnsi="黑体" w:eastAsia="黑体" w:cs="黑体"/>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260" w:line="240" w:lineRule="auto"/>
      <w:outlineLvl w:val="2"/>
    </w:pPr>
    <w:rPr>
      <w:rFonts w:ascii="黑体" w:hAnsi="黑体" w:eastAsia="黑体" w:cs="黑体"/>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60" w:after="260" w:line="240" w:lineRule="auto"/>
      <w:outlineLvl w:val="3"/>
    </w:pPr>
    <w:rPr>
      <w:rFonts w:ascii="黑体" w:hAnsi="黑体" w:eastAsia="黑体" w:cs="黑体"/>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黑体" w:hAnsi="黑体" w:eastAsia="黑体" w:cs="黑体"/>
      <w:b/>
      <w:bCs/>
      <w:i w:val="0"/>
      <w:color w:val="000000"/>
      <w:sz w:val="32"/>
      <w:szCs w:val="28"/>
    </w:rPr>
  </w:style>
  <w:style w:type="character" w:customStyle="1" w:styleId="Heading2Char">
    <w:name w:val="Heading 2 Char"/>
    <w:basedOn w:val="DefaultParagraphFont"/>
    <w:link w:val="Heading2"/>
    <w:uiPriority w:val="9"/>
    <w:rsid w:val="00FC693F"/>
    <w:rPr>
      <w:rFonts w:ascii="黑体" w:hAnsi="黑体" w:eastAsia="黑体" w:cs="黑体"/>
      <w:b/>
      <w:bCs/>
      <w:i w:val="0"/>
      <w:color w:val="000000"/>
      <w:sz w:val="30"/>
      <w:szCs w:val="26"/>
    </w:rPr>
  </w:style>
  <w:style w:type="character" w:customStyle="1" w:styleId="Heading3Char">
    <w:name w:val="Heading 3 Char"/>
    <w:basedOn w:val="DefaultParagraphFont"/>
    <w:link w:val="Heading3"/>
    <w:uiPriority w:val="9"/>
    <w:rsid w:val="00FC693F"/>
    <w:rPr>
      <w:rFonts w:ascii="黑体" w:hAnsi="黑体" w:eastAsia="黑体" w:cs="黑体"/>
      <w:b/>
      <w:bCs/>
      <w:i w:val="0"/>
      <w:color w:val="000000"/>
      <w:sz w:val="28"/>
    </w:rPr>
  </w:style>
  <w:style w:type="paragraph" w:styleId="Title">
    <w:name w:val="Title"/>
    <w:basedOn w:val="Normal"/>
    <w:next w:val="Normal"/>
    <w:link w:val="TitleChar"/>
    <w:uiPriority w:val="10"/>
    <w:qFormat/>
    <w:rsid w:val="00FC693F"/>
    <w:pPr>
      <w:spacing w:after="440" w:line="240" w:lineRule="auto" w:before="0"/>
      <w:contextualSpacing/>
      <w:jc w:val="center"/>
    </w:pPr>
    <w:rPr>
      <w:rFonts w:ascii="黑体" w:hAnsi="黑体" w:eastAsia="黑体" w:cs="黑体"/>
      <w:b/>
      <w:i w:val="0"/>
      <w:color w:val="000000"/>
      <w:spacing w:val="5"/>
      <w:kern w:val="28"/>
      <w:sz w:val="44"/>
      <w:szCs w:val="52"/>
    </w:rPr>
  </w:style>
  <w:style w:type="character" w:customStyle="1" w:styleId="TitleChar">
    <w:name w:val="Title Char"/>
    <w:basedOn w:val="DefaultParagraphFont"/>
    <w:link w:val="Title"/>
    <w:uiPriority w:val="10"/>
    <w:rsid w:val="00FC693F"/>
    <w:rPr>
      <w:rFonts w:ascii="黑体" w:hAnsi="黑体" w:eastAsia="黑体" w:cs="黑体"/>
      <w:b/>
      <w:i w:val="0"/>
      <w:color w:val="000000"/>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黑体" w:hAnsi="黑体" w:eastAsia="黑体" w:cs="黑体"/>
      <w:b/>
      <w:bCs/>
      <w:i w:val="0"/>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semiHidden/>
    <w:unhideWhenUsed/>
    <w:qFormat/>
    <w:rsid w:val="00FC693F"/>
    <w:pPr>
      <w:spacing w:before="0" w:after="360"/>
      <w:jc w:val="center"/>
      <w:outlineLvl w:val="9"/>
    </w:pPr>
    <w:rPr>
      <w:rFonts w:ascii="黑体" w:hAnsi="黑体" w:eastAsia="黑体" w:cs="黑体"/>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nderBody">
    <w:name w:val="Tender Body"/>
    <w:basedOn w:val="Normal"/>
    <w:qFormat/>
    <w:pPr>
      <w:spacing w:line="360" w:lineRule="auto" w:before="0" w:after="0"/>
      <w:ind w:firstLineChars="200" w:firstLine="480"/>
      <w:jc w:val="both"/>
    </w:pPr>
  </w:style>
  <w:style w:type="paragraph" w:customStyle="1" w:styleId="TenderCover">
    <w:name w:val="Tender Cover"/>
    <w:basedOn w:val="Normal"/>
    <w:qFormat/>
    <w:pPr>
      <w:spacing w:line="360" w:lineRule="auto" w:before="0" w:after="360"/>
      <w:jc w:val="center"/>
    </w:pPr>
    <w:rPr>
      <w:rFonts w:ascii="黑体" w:hAnsi="黑体" w:eastAsia="黑体" w:cs="黑体"/>
      <w:b/>
      <w:sz w:val="44"/>
    </w:rPr>
  </w:style>
  <w:style w:type="paragraph" w:customStyle="1" w:styleId="TenderCoverSub">
    <w:name w:val="Tender Cover Sub"/>
    <w:basedOn w:val="TenderCover"/>
    <w:qFormat/>
    <w:pPr>
      <w:spacing w:after="120"/>
      <w:jc w:val="center"/>
    </w:pPr>
    <w:rPr>
      <w:b/>
      <w:sz w:val="30"/>
    </w:rPr>
  </w:style>
  <w:style w:type="paragraph" w:customStyle="1" w:styleId="TenderCaption">
    <w:name w:val="Tender Caption"/>
    <w:basedOn w:val="Normal"/>
    <w:qFormat/>
    <w:pPr>
      <w:spacing w:line="360" w:lineRule="auto" w:before="60" w:after="120"/>
      <w:jc w:val="center"/>
    </w:pPr>
    <w:rPr>
      <w:rFonts w:ascii="Times New Roman" w:hAnsi="Times New Roman" w:eastAsia="宋体" w:cs="Times New Roman"/>
      <w:sz w:val="18"/>
    </w:rPr>
  </w:style>
  <w:style w:type="paragraph" w:customStyle="1" w:styleId="TOC1">
    <w:name w:val="toc 1"/>
    <w:basedOn w:val="Normal"/>
    <w:qFormat/>
    <w:pPr>
      <w:tabs>
        <w:tab w:pos="8300" w:val="right" w:leader="dot"/>
      </w:tabs>
      <w:spacing w:line="360" w:lineRule="auto" w:before="0" w:after="0"/>
      <w:ind w:left="0"/>
    </w:pPr>
    <w:rPr>
      <w:rFonts w:ascii="Times New Roman" w:hAnsi="Times New Roman" w:eastAsia="宋体" w:cs="Times New Roman"/>
      <w:color w:val="000000"/>
      <w:sz w:val="24"/>
    </w:rPr>
  </w:style>
  <w:style w:type="paragraph" w:customStyle="1" w:styleId="TOC2">
    <w:name w:val="toc 2"/>
    <w:basedOn w:val="Normal"/>
    <w:qFormat/>
    <w:pPr>
      <w:tabs>
        <w:tab w:pos="8300" w:val="right" w:leader="dot"/>
      </w:tabs>
      <w:spacing w:line="360" w:lineRule="auto" w:before="0" w:after="0"/>
      <w:ind w:left="480"/>
    </w:pPr>
    <w:rPr>
      <w:rFonts w:ascii="Times New Roman" w:hAnsi="Times New Roman" w:eastAsia="宋体" w:cs="Times New Roman"/>
      <w:color w:val="000000"/>
      <w:sz w:val="24"/>
    </w:rPr>
  </w:style>
  <w:style w:type="paragraph" w:customStyle="1" w:styleId="TOC3">
    <w:name w:val="toc 3"/>
    <w:basedOn w:val="Normal"/>
    <w:qFormat/>
    <w:pPr>
      <w:tabs>
        <w:tab w:pos="8300" w:val="right" w:leader="dot"/>
      </w:tabs>
      <w:spacing w:line="360" w:lineRule="auto" w:before="0" w:after="0"/>
      <w:ind w:left="960"/>
    </w:pPr>
    <w:rPr>
      <w:rFonts w:ascii="Times New Roman" w:hAnsi="Times New Roman" w:eastAsia="宋体" w:cs="Times New Roman"/>
      <w:color w:val="000000"/>
      <w:sz w:val="24"/>
    </w:rPr>
  </w:style>
  <w:style w:type="paragraph" w:customStyle="1" w:styleId="TenderHeader">
    <w:name w:val="Tender Header"/>
    <w:basedOn w:val="Normal"/>
    <w:pPr>
      <w:spacing w:line="240" w:lineRule="auto"/>
      <w:jc w:val="center"/>
    </w:pPr>
    <w:rPr>
      <w:rFonts w:ascii="Times New Roman" w:hAnsi="Times New Roman" w:eastAsia="宋体" w:cs="Times New Roman"/>
      <w:sz w:val="18"/>
    </w:rPr>
  </w:style>
  <w:style w:type="table" w:styleId="42">
    <w:name w:val="Normal Table 2"/>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Style w:val="42"/>
      <w:tblCellMar>
        <w:top w:w="0" w:type="dxa"/>
        <w:left w:w="108" w:type="dxa"/>
        <w:bottom w:w="0" w:type="dxa"/>
        <w:right w:w="108" w:type="dxa"/>
      </w:tblCellMar>
    </w:tblPr>
  </w:style>
  <w:style w:type="paragraph" w:styleId="4">
    <w:name w:val="heading 3 2"/>
    <w:basedOn w:val="1"/>
    <w:next w:val="1"/>
    <w:link w:val="54"/>
    <w:qFormat/>
    <w:uiPriority w:val="9"/>
    <w:pPr>
      <w:keepNext/>
      <w:keepLines/>
      <w:spacing w:before="260" w:after="260" w:line="416" w:lineRule="auto"/>
      <w:outlineLvl w:val="2"/>
    </w:pPr>
    <w:rPr>
      <w:rFonts w:cs="Times New Roman"/>
      <w:b/>
      <w:bCs/>
      <w:sz w:val="32"/>
      <w:szCs w:val="32"/>
    </w:rPr>
  </w:style>
  <w:style w:type="paragraph" w:styleId="1">
    <w:name w:val="Normal 2"/>
    <w:qFormat/>
    <w:uiPriority w:val="0"/>
    <w:pPr>
      <w:widowControl w:val="0"/>
      <w:jc w:val="both"/>
    </w:pPr>
    <w:rPr>
      <w:kern w:val="2"/>
      <w:sz w:val="21"/>
      <w:szCs w:val="24"/>
      <w:lang w:val="en-US" w:eastAsia="zh-CN" w:bidi="ar-SA"/>
    </w:rPr>
  </w:style>
  <w:style w:type="character" w:customStyle="1" w:styleId="54">
    <w:name w:val="标题 3 Char"/>
    <w:link w:val="4"/>
    <w:uiPriority w:val="9"/>
    <w:rPr>
      <w:b/>
      <w:bCs/>
      <w:kern w:val="2"/>
      <w:sz w:val="32"/>
      <w:szCs w:val="32"/>
    </w:rPr>
  </w:style>
  <w:style w:type="paragraph" w:customStyle="1" w:styleId="44">
    <w:name w:val="List Paragraph12"/>
    <w:basedOn w:val="9"/>
    <w:qFormat/>
    <w:uiPriority w:val="34"/>
    <w:pPr>
      <w:widowControl/>
      <w:ind w:firstLine="420"/>
      <w:textAlignment w:val="baseline"/>
    </w:pPr>
    <w:rPr>
      <w:color w:val="000000"/>
    </w:rPr>
  </w:style>
  <w:style w:type="paragraph" w:styleId="20">
    <w:name w:val="HTML Preformatted"/>
    <w:link w:val="41"/>
    <w:qFormat/>
    <w:uiPriority w:val="9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0" w:firstLineChars="200"/>
      <w:jc w:val="both"/>
    </w:pPr>
    <w:rPr>
      <w:rFonts w:hint="eastAsia" w:ascii="宋体" w:hAnsi="宋体" w:eastAsia="宋体" w:cs="Times New Roman"/>
      <w:color w:val="000000"/>
      <w:kern w:val="2"/>
      <w:sz w:val="24"/>
      <w:szCs w:val="24"/>
      <w:lang w:val="en-US" w:eastAsia="zh-CN" w:bidi="ar-SA"/>
    </w:rPr>
  </w:style>
  <w:style w:type="paragraph" w:styleId="9">
    <w:name w:val="Normal 3"/>
    <w:next w:val="2"/>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Normal Indent"/>
    <w:basedOn w:val="1"/>
    <w:next w:val="3"/>
    <w:link w:val="40"/>
    <w:qFormat/>
    <w:uiPriority w:val="0"/>
    <w:pPr>
      <w:ind w:firstLine="420"/>
    </w:pPr>
  </w:style>
  <w:style w:type="character" w:customStyle="1" w:styleId="41">
    <w:name w:val="HTML 预设格式 字符"/>
    <w:basedOn w:val="6"/>
    <w:link w:val="20"/>
    <w:uiPriority w:val="99"/>
    <w:rPr>
      <w:rFonts w:ascii="宋体" w:hAnsi="宋体" w:eastAsia="宋体" w:cs="Times New Roman"/>
      <w:color w:val="000000"/>
      <w:kern w:val="2"/>
      <w:sz w:val="24"/>
      <w:szCs w:val="24"/>
    </w:rPr>
  </w:style>
  <w:style w:type="paragraph" w:styleId="3">
    <w:name w:val="Body Text Indent"/>
    <w:basedOn w:val="1"/>
    <w:next w:val="2"/>
    <w:qFormat/>
    <w:uiPriority w:val="0"/>
    <w:pPr>
      <w:spacing w:after="120"/>
      <w:ind w:left="420" w:leftChars="200"/>
    </w:pPr>
  </w:style>
  <w:style w:type="character" w:styleId="6">
    <w:name w:val="Default Paragraph Font 3"/>
    <w:semiHidden/>
    <w:unhideWhenUsed/>
    <w:uiPriority w:val="1"/>
  </w:style>
  <w:style w:type="character" w:customStyle="1" w:styleId="40">
    <w:name w:val="正文缩进 字符"/>
    <w:link w:val="2"/>
    <w:qFormat/>
    <w:uiPriority w:val="0"/>
    <w:rPr>
      <w:rFonts w:ascii="Times New Roman" w:hAnsi="Times New Roman" w:eastAsia="宋体" w:cs="Times New Roman"/>
      <w:kern w:val="2"/>
      <w:sz w:val="24"/>
      <w:szCs w:val="24"/>
    </w:rPr>
  </w:style>
  <w:style w:type="paragraph" w:styleId="24">
    <w:name w:val="Body Text First Indent 2"/>
    <w:basedOn w:val="3"/>
    <w:qFormat/>
    <w:uiPriority w:val="0"/>
    <w:pPr>
      <w:ind w:firstLine="420"/>
    </w:pPr>
  </w:style>
  <w:style w:type="paragraph" w:styleId="17">
    <w:name w:val="toc 1 2"/>
    <w:basedOn w:val="1"/>
    <w:next w:val="1"/>
    <w:qFormat/>
    <w:uiPriority w:val="39"/>
    <w:pPr>
      <w:ind w:firstLine="0" w:firstLineChars="0"/>
      <w:jc w:val="left"/>
    </w:pPr>
    <w:rPr>
      <w:caps/>
      <w:color w:val="000000"/>
    </w:rPr>
  </w:style>
  <w:style w:type="paragraph" w:styleId="36">
    <w:name w:val="List Paragraph 2"/>
    <w:basedOn w:val="1"/>
    <w:link w:val="37"/>
    <w:unhideWhenUsed/>
    <w:qFormat/>
    <w:uiPriority w:val="19"/>
    <w:pPr>
      <w:ind w:firstLine="420"/>
    </w:pPr>
  </w:style>
  <w:style w:type="character" w:customStyle="1" w:styleId="37">
    <w:name w:val="列表段落 字符"/>
    <w:link w:val="36"/>
    <w:qFormat/>
    <w:uiPriority w:val="19"/>
    <w:rPr>
      <w:rFonts w:ascii="Times New Roman" w:hAnsi="Times New Roman" w:eastAsia="宋体" w:cs="Times New Roman"/>
      <w:kern w:val="2"/>
      <w:sz w:val="24"/>
      <w:szCs w:val="24"/>
    </w:rPr>
  </w:style>
  <w:style w:type="paragraph" w:styleId="26">
    <w:name w:val="Plain Text"/>
    <w:basedOn w:val="1"/>
    <w:next w:val="7"/>
    <w:link w:val="68"/>
    <w:qFormat/>
    <w:uiPriority w:val="0"/>
    <w:rPr>
      <w:rFonts w:ascii="宋体" w:hAnsi="Courier New" w:cs="Times New Roman"/>
    </w:rPr>
  </w:style>
  <w:style w:type="character" w:customStyle="1" w:styleId="68">
    <w:name w:val="纯文本 字符"/>
    <w:basedOn w:val="5"/>
    <w:link w:val="26"/>
    <w:uiPriority w:val="0"/>
    <w:rPr>
      <w:rFonts w:hint="eastAsia" w:ascii="宋体" w:hAnsi="Courier New" w:eastAsia="宋体" w:cs="Courier New"/>
      <w:kern w:val="2"/>
      <w:sz w:val="21"/>
      <w:szCs w:val="24"/>
    </w:rPr>
  </w:style>
  <w:style w:type="character" w:styleId="5">
    <w:name w:val="Default Paragraph Font 2"/>
    <w:semiHidden/>
    <w:uiPriority w:val="0"/>
  </w:style>
  <w:style w:type="paragraph" w:styleId="7">
    <w:name w:val="heading 4 2"/>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character" w:customStyle="1" w:styleId="55">
    <w:name w:val="标题 4 Char"/>
    <w:link w:val="7"/>
    <w:uiPriority w:val="0"/>
    <w:rPr>
      <w:rFonts w:ascii="Arial" w:hAnsi="Arial" w:eastAsia="黑体"/>
      <w:bCs/>
      <w:kern w:val="2"/>
      <w:sz w:val="24"/>
      <w:szCs w:val="28"/>
    </w:rPr>
  </w:style>
  <w:style w:type="table" w:styleId="43">
    <w:name w:val="Table Grid 2"/>
    <w:basedOn w:val="42"/>
    <w:qFormat/>
    <w:uiPriority w:val="59"/>
    <w:tblPr>
      <w:tblStyle w:val="4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heading 4 2 2"/>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paragraph" w:styleId="10">
    <w:name w:val="heading 4 2 3"/>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paragraph" w:styleId="11">
    <w:name w:val="heading 4 2 4"/>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character" w:customStyle="1" w:styleId="76">
    <w:name w:val="fontstyle01"/>
    <w:uiPriority w:val="0"/>
    <w:rPr>
      <w:rFonts w:hint="eastAsia" w:ascii="黑体" w:hAnsi="黑体" w:eastAsia="黑体"/>
      <w:color w:val="000000"/>
      <w:sz w:val="32"/>
      <w:szCs w:val="32"/>
    </w:rPr>
  </w:style>
  <w:style w:type="paragraph" w:styleId="12">
    <w:name w:val="heading 4 2 5"/>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paragraph" w:styleId="13">
    <w:name w:val="heading 4 2 6"/>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paragraph" w:styleId="14">
    <w:name w:val="heading 4 2 7"/>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paragraph" w:styleId="15">
    <w:name w:val="heading 4 2 8"/>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paragraph" w:styleId="16">
    <w:name w:val="heading 4 2 9"/>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 w:type="paragraph" w:styleId="18">
    <w:name w:val="heading 4 2 10"/>
    <w:basedOn w:val="1"/>
    <w:next w:val="1"/>
    <w:link w:val="55"/>
    <w:qFormat/>
    <w:uiPriority w:val="0"/>
    <w:pPr>
      <w:keepNext/>
      <w:keepLines/>
      <w:tabs>
        <w:tab w:val="left" w:pos="0"/>
      </w:tabs>
      <w:spacing w:before="280" w:after="290" w:line="376" w:lineRule="auto"/>
      <w:outlineLvl w:val="3"/>
    </w:pPr>
    <w:rPr>
      <w:rFonts w:ascii="Arial" w:hAnsi="Arial" w:eastAsia="黑体" w:cs="Times New Roman"/>
      <w:bCs/>
      <w:sz w:val="24"/>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