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管理体系与资质证书复印件</w:t>
      </w:r>
    </w:p>
    <w:p>
      <w:pPr>
        <w:pStyle w:val="TenderBody"/>
      </w:pPr>
      <w:r>
        <w:t>按招标文件评分标准中通用技术能力要求，我方提供以下管理体系与资质证书复印件（加盖公章）：</w:t>
      </w:r>
    </w:p>
    <w:p>
      <w:pPr>
        <w:pStyle w:val="TenderBody"/>
      </w:pPr>
      <w:commentRangeStart w:id="0"/>
      <w:r>
        <w:t>（此处贴入：质量管理体系认证证书（ISO9001）复印件，加盖投标供应商公章）</w:t>
      </w:r>
      <w:commentRangeEnd w:id="0"/>
      <w:r>
        <w:rPr>
          <w:rStyle w:val="CommentReference"/>
        </w:rPr>
        <w:commentReference w:id="0"/>
      </w:r>
    </w:p>
    <w:p>
      <w:pPr>
        <w:pStyle w:val="TenderBody"/>
      </w:pPr>
      <w:commentRangeStart w:id="1"/>
      <w:r>
        <w:t>（此处贴入：信息安全管理体系认证证书（ISO27001）复印件，加盖投标供应商公章）</w:t>
      </w:r>
      <w:commentRangeEnd w:id="1"/>
      <w:r>
        <w:rPr>
          <w:rStyle w:val="CommentReference"/>
        </w:rPr>
        <w:commentReference w:id="1"/>
      </w:r>
    </w:p>
    <w:p>
      <w:pPr>
        <w:pStyle w:val="TenderBody"/>
      </w:pPr>
      <w:commentRangeStart w:id="2"/>
      <w:r>
        <w:t>（此处贴入：信息技术服务管理体系认证证书（ISO20000）复印件，加盖投标供应商公章）</w:t>
      </w:r>
      <w:commentRangeEnd w:id="2"/>
      <w:r>
        <w:rPr>
          <w:rStyle w:val="CommentReference"/>
        </w:rPr>
        <w:commentReference w:id="2"/>
      </w:r>
    </w:p>
    <w:p>
      <w:pPr>
        <w:pStyle w:val="TenderBody"/>
      </w:pPr>
      <w:commentRangeStart w:id="3"/>
      <w:r>
        <w:t>（此处贴入：数据管理能力成熟度评估证书（DCMM，2级以上）复印件，加盖投标供应商公章）</w:t>
      </w:r>
      <w:commentRangeEnd w:id="3"/>
      <w:r>
        <w:rPr>
          <w:rStyle w:val="CommentReference"/>
        </w:rPr>
        <w:commentReference w:id="3"/>
      </w:r>
    </w:p>
    <w:p>
      <w:pPr>
        <w:pStyle w:val="TenderBody"/>
      </w:pPr>
      <w:commentRangeStart w:id="4"/>
      <w:r>
        <w:t>（此处贴入：信息系统安全等级保护备案证明复印件，加盖投标供应商公章）</w:t>
      </w:r>
      <w:commentRangeEnd w:id="4"/>
      <w:r>
        <w:rPr>
          <w:rStyle w:val="CommentReference"/>
        </w:rPr>
        <w:commentReference w:id="4"/>
      </w:r>
    </w:p>
    <w:sectPr w:rsidR="00FC693F" w:rsidRPr="0006063C" w:rsidSect="00034616">
      <w:footerReference w:type="default" r:id="rId9"/>
      <w:pgSz w:w="11906" w:h="16838"/>
      <w:pgMar w:top="1440" w:right="1803" w:bottom="1440" w:left="1803" w:header="850" w:footer="99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灵燕智能" w:initials="AI" w:date="2026-10-12T17:55:11Z">
    <w:p>
      <w:pPr>
        <w:pStyle w:val="CommentText"/>
      </w:pPr>
      <w:r>
        <w:rPr>
          <w:rStyle w:val="CommentReference"/>
        </w:rPr>
        <w:annotationRef/>
      </w:r>
      <w:r>
        <w:t>缺料待办：本投标主体为验收演示快照主体（杭州研数科技有限公司（验收演示）），公司知识库中无其 ISO9001 质量管理体系认证证书（旧主体 2015 年历史开户许可证一张不得当作本主体有效资质）。正式投标前须由用户提供演示主体有效期内 ISO9001 证书复印件并加盖公章后贴入此处。</w:t>
      </w:r>
    </w:p>
  </w:comment>
  <w:comment w:id="1" w:author="灵燕智能" w:initials="AI" w:date="2026-10-12T17:55:14Z">
    <w:p>
      <w:pPr>
        <w:pStyle w:val="CommentText"/>
      </w:pPr>
      <w:r>
        <w:rPr>
          <w:rStyle w:val="CommentReference"/>
        </w:rPr>
        <w:annotationRef/>
      </w:r>
      <w:r>
        <w:t>缺料待办：公司知识库中无演示主体 ISO27001 信息安全管理体系认证证书，正式投标前须由用户提供有效期内证书复印件并加盖公章后贴入此处。</w:t>
      </w:r>
    </w:p>
  </w:comment>
  <w:comment w:id="2" w:author="灵燕智能" w:initials="AI" w:date="2026-10-12T17:55:17Z">
    <w:p>
      <w:pPr>
        <w:pStyle w:val="CommentText"/>
      </w:pPr>
      <w:r>
        <w:rPr>
          <w:rStyle w:val="CommentReference"/>
        </w:rPr>
        <w:annotationRef/>
      </w:r>
      <w:r>
        <w:t>缺料待办：公司知识库中无演示主体 ISO20000 信息技术服务管理体系认证证书，正式投标前须由用户提供有效期内证书复印件并加盖公章后贴入此处。</w:t>
      </w:r>
    </w:p>
  </w:comment>
  <w:comment w:id="3" w:author="灵燕智能" w:initials="AI" w:date="2026-10-12T17:55:19Z">
    <w:p>
      <w:pPr>
        <w:pStyle w:val="CommentText"/>
      </w:pPr>
      <w:r>
        <w:rPr>
          <w:rStyle w:val="CommentReference"/>
        </w:rPr>
        <w:annotationRef/>
      </w:r>
      <w:r>
        <w:t>缺料待办：公司知识库中无演示主体 DCMM 数据管理能力成熟度评估证书（须2级以上），正式投标前须由用户提供有效期内证书复印件并加盖公章后贴入此处。</w:t>
      </w:r>
    </w:p>
  </w:comment>
  <w:comment w:id="4" w:author="灵燕智能" w:initials="AI" w:date="2026-10-12T17:55:22Z">
    <w:p>
      <w:pPr>
        <w:pStyle w:val="CommentText"/>
      </w:pPr>
      <w:r>
        <w:rPr>
          <w:rStyle w:val="CommentReference"/>
        </w:rPr>
        <w:annotationRef/>
      </w:r>
      <w:r>
        <w:t>缺料待办：公司知识库中无演示主体信息系统安全等级保护备案证明，正式投标前须由用户提供有效期内备案证明复印件并加盖公章后贴入此处。</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 PAGE </w:instrText>
    </w:r>
    <w:r>
      <w:rPr>
        <w:rFonts w:ascii="Times New Roman" w:hAnsi="Times New Roman" w:eastAsia="Times New Roman"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line="240" w:lineRule="auto"/>
      <w:outlineLvl w:val="0"/>
    </w:pPr>
    <w:rPr>
      <w:rFonts w:ascii="黑体" w:hAnsi="黑体" w:eastAsia="黑体" w:cs="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240" w:lineRule="auto"/>
      <w:outlineLvl w:val="1"/>
    </w:pPr>
    <w:rPr>
      <w:rFonts w:ascii="黑体" w:hAnsi="黑体" w:eastAsia="黑体" w:cs="黑体"/>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260" w:line="240" w:lineRule="auto"/>
      <w:outlineLvl w:val="2"/>
    </w:pPr>
    <w:rPr>
      <w:rFonts w:ascii="黑体" w:hAnsi="黑体" w:eastAsia="黑体" w:cs="黑体"/>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60" w:after="260" w:line="240" w:lineRule="auto"/>
      <w:outlineLvl w:val="3"/>
    </w:pPr>
    <w:rPr>
      <w:rFonts w:ascii="黑体" w:hAnsi="黑体" w:eastAsia="黑体" w:cs="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黑体" w:hAnsi="黑体" w:eastAsia="黑体" w:cs="黑体"/>
      <w:b/>
      <w:bCs/>
      <w:i w:val="0"/>
      <w:color w:val="000000"/>
      <w:sz w:val="32"/>
      <w:szCs w:val="28"/>
    </w:rPr>
  </w:style>
  <w:style w:type="character" w:customStyle="1" w:styleId="Heading2Char">
    <w:name w:val="Heading 2 Char"/>
    <w:basedOn w:val="DefaultParagraphFont"/>
    <w:link w:val="Heading2"/>
    <w:uiPriority w:val="9"/>
    <w:rsid w:val="00FC693F"/>
    <w:rPr>
      <w:rFonts w:ascii="黑体" w:hAnsi="黑体" w:eastAsia="黑体" w:cs="黑体"/>
      <w:b/>
      <w:bCs/>
      <w:i w:val="0"/>
      <w:color w:val="000000"/>
      <w:sz w:val="30"/>
      <w:szCs w:val="26"/>
    </w:rPr>
  </w:style>
  <w:style w:type="character" w:customStyle="1" w:styleId="Heading3Char">
    <w:name w:val="Heading 3 Char"/>
    <w:basedOn w:val="DefaultParagraphFont"/>
    <w:link w:val="Heading3"/>
    <w:uiPriority w:val="9"/>
    <w:rsid w:val="00FC693F"/>
    <w:rPr>
      <w:rFonts w:ascii="黑体" w:hAnsi="黑体" w:eastAsia="黑体" w:cs="黑体"/>
      <w:b/>
      <w:bCs/>
      <w:i w:val="0"/>
      <w:color w:val="000000"/>
      <w:sz w:val="28"/>
    </w:rPr>
  </w:style>
  <w:style w:type="paragraph" w:styleId="Title">
    <w:name w:val="Title"/>
    <w:basedOn w:val="Normal"/>
    <w:next w:val="Normal"/>
    <w:link w:val="TitleChar"/>
    <w:uiPriority w:val="10"/>
    <w:qFormat/>
    <w:rsid w:val="00FC693F"/>
    <w:pPr>
      <w:spacing w:after="440" w:line="240" w:lineRule="auto" w:before="0"/>
      <w:contextualSpacing/>
      <w:jc w:val="center"/>
    </w:pPr>
    <w:rPr>
      <w:rFonts w:ascii="黑体" w:hAnsi="黑体" w:eastAsia="黑体" w:cs="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黑体" w:hAnsi="黑体" w:eastAsia="黑体" w:cs="黑体"/>
      <w:b/>
      <w:i w:val="0"/>
      <w:color w:val="000000"/>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黑体" w:hAnsi="黑体" w:eastAsia="黑体" w:cs="黑体"/>
      <w:b/>
      <w:bCs/>
      <w:i w:val="0"/>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before="0" w:after="360"/>
      <w:jc w:val="center"/>
      <w:outlineLvl w:val="9"/>
    </w:pPr>
    <w:rPr>
      <w:rFonts w:ascii="黑体" w:hAnsi="黑体" w:eastAsia="黑体" w:cs="黑体"/>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nderBody">
    <w:name w:val="Tender Body"/>
    <w:basedOn w:val="Normal"/>
    <w:qFormat/>
    <w:pPr>
      <w:spacing w:line="360" w:lineRule="auto" w:before="0" w:after="0"/>
      <w:ind w:firstLineChars="200" w:firstLine="480"/>
      <w:jc w:val="both"/>
    </w:pPr>
  </w:style>
  <w:style w:type="paragraph" w:customStyle="1" w:styleId="TenderCover">
    <w:name w:val="Tender Cover"/>
    <w:basedOn w:val="Normal"/>
    <w:qFormat/>
    <w:pPr>
      <w:spacing w:line="360" w:lineRule="auto" w:before="0" w:after="360"/>
      <w:jc w:val="center"/>
    </w:pPr>
    <w:rPr>
      <w:rFonts w:ascii="黑体" w:hAnsi="黑体" w:eastAsia="黑体" w:cs="黑体"/>
      <w:b/>
      <w:sz w:val="44"/>
    </w:rPr>
  </w:style>
  <w:style w:type="paragraph" w:customStyle="1" w:styleId="TenderCoverSub">
    <w:name w:val="Tender Cover Sub"/>
    <w:basedOn w:val="TenderCover"/>
    <w:qFormat/>
    <w:pPr>
      <w:spacing w:after="120"/>
      <w:jc w:val="center"/>
    </w:pPr>
    <w:rPr>
      <w:b/>
      <w:sz w:val="30"/>
    </w:rPr>
  </w:style>
  <w:style w:type="paragraph" w:customStyle="1" w:styleId="TenderCaption">
    <w:name w:val="Tender Caption"/>
    <w:basedOn w:val="Normal"/>
    <w:qFormat/>
    <w:pPr>
      <w:spacing w:line="360" w:lineRule="auto" w:before="60" w:after="120"/>
      <w:jc w:val="center"/>
    </w:pPr>
    <w:rPr>
      <w:rFonts w:ascii="Times New Roman" w:hAnsi="Times New Roman" w:eastAsia="宋体" w:cs="Times New Roman"/>
      <w:sz w:val="18"/>
    </w:rPr>
  </w:style>
  <w:style w:type="paragraph" w:customStyle="1" w:styleId="TOC1">
    <w:name w:val="toc 1"/>
    <w:basedOn w:val="Normal"/>
    <w:qFormat/>
    <w:pPr>
      <w:tabs>
        <w:tab w:pos="8300" w:val="right" w:leader="dot"/>
      </w:tabs>
      <w:spacing w:line="360" w:lineRule="auto" w:before="0" w:after="0"/>
      <w:ind w:left="0"/>
    </w:pPr>
    <w:rPr>
      <w:rFonts w:ascii="Times New Roman" w:hAnsi="Times New Roman" w:eastAsia="宋体" w:cs="Times New Roman"/>
      <w:color w:val="000000"/>
      <w:sz w:val="24"/>
    </w:rPr>
  </w:style>
  <w:style w:type="paragraph" w:customStyle="1" w:styleId="TOC2">
    <w:name w:val="toc 2"/>
    <w:basedOn w:val="Normal"/>
    <w:qFormat/>
    <w:pPr>
      <w:tabs>
        <w:tab w:pos="8300" w:val="right" w:leader="dot"/>
      </w:tabs>
      <w:spacing w:line="360" w:lineRule="auto" w:before="0" w:after="0"/>
      <w:ind w:left="480"/>
    </w:pPr>
    <w:rPr>
      <w:rFonts w:ascii="Times New Roman" w:hAnsi="Times New Roman" w:eastAsia="宋体" w:cs="Times New Roman"/>
      <w:color w:val="000000"/>
      <w:sz w:val="24"/>
    </w:rPr>
  </w:style>
  <w:style w:type="paragraph" w:customStyle="1" w:styleId="TOC3">
    <w:name w:val="toc 3"/>
    <w:basedOn w:val="Normal"/>
    <w:qFormat/>
    <w:pPr>
      <w:tabs>
        <w:tab w:pos="8300" w:val="right" w:leader="dot"/>
      </w:tabs>
      <w:spacing w:line="360" w:lineRule="auto" w:before="0" w:after="0"/>
      <w:ind w:left="960"/>
    </w:pPr>
    <w:rPr>
      <w:rFonts w:ascii="Times New Roman" w:hAnsi="Times New Roman" w:eastAsia="宋体" w:cs="Times New Roman"/>
      <w:color w:val="000000"/>
      <w:sz w:val="24"/>
    </w:rPr>
  </w:style>
  <w:style w:type="paragraph" w:customStyle="1" w:styleId="TenderHeader">
    <w:name w:val="Tender Header"/>
    <w:basedOn w:val="Normal"/>
    <w:pPr>
      <w:spacing w:line="240" w:lineRule="auto"/>
      <w:jc w:val="center"/>
    </w:pPr>
    <w:rPr>
      <w:rFonts w:ascii="Times New Roman" w:hAnsi="Times New Roman" w:eastAsia="宋体" w:cs="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