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工程验证章节</w:t>
      </w:r>
    </w:p>
    <w:p>
      <w:pPr>
        <w:pStyle w:val="TenderBody"/>
      </w:pPr>
      <w:r>
        <w:t>本项目实施分需求梳理、实施交付、维护服务三个环节。</w:t>
      </w:r>
    </w:p>
    <w:p>
      <w:pPr>
        <w:pStyle w:val="TenderBody"/>
      </w:pPr>
      <w:r>
        <w:t>需求梳理阶段，与采购方确认工程验证范围、验收标准及关键指标，形成书面确认。</w:t>
      </w:r>
    </w:p>
    <w:p>
      <w:pPr>
        <w:pStyle w:val="TenderBody"/>
      </w:pPr>
      <w:r>
        <w:t>实施交付阶段，按确认范围开展验证，逐项完成并出具结果记录，交付文档与数据供采购方验收。</w:t>
      </w:r>
    </w:p>
    <w:p>
      <w:pPr>
        <w:pStyle w:val="TenderBody"/>
      </w:pPr>
      <w:r>
        <w:t>维护服务阶段，验收通过后进入为期三年的维护期，负责运行监控、问题响应与定期巡检，保障成果持续有效。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sz w:val="21"/>
        <w:szCs w:val="21"/>
      </w:rPr>
      <w:fldChar w:fldCharType="begin"/>
    </w:r>
    <w:r>
      <w:rPr>
        <w:rFonts w:ascii="Times New Roman" w:hAnsi="Times New Roman" w:eastAsia="Times New Roman" w:cs="Times New Roman"/>
        <w:sz w:val="21"/>
        <w:szCs w:val="21"/>
      </w:rPr>
      <w:instrText xml:space="preserve"> PAGE </w:instrText>
    </w:r>
    <w:r>
      <w:rPr>
        <w:rFonts w:ascii="Times New Roman" w:hAnsi="Times New Roman" w:eastAsia="Times New Roman" w:cs="Times New Roman"/>
        <w:sz w:val="21"/>
        <w:szCs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</w:pPr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260" w:line="240" w:lineRule="auto"/>
      <w:outlineLvl w:val="0"/>
    </w:pPr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60" w:line="240" w:lineRule="auto"/>
      <w:outlineLvl w:val="1"/>
    </w:pPr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line="240" w:lineRule="auto"/>
      <w:outlineLvl w:val="2"/>
    </w:pPr>
    <w:rPr>
      <w:rFonts w:ascii="黑体" w:hAnsi="黑体" w:eastAsia="黑体" w:cs="黑体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60" w:after="260" w:line="240" w:lineRule="auto"/>
      <w:outlineLvl w:val="3"/>
    </w:pPr>
    <w:rPr>
      <w:rFonts w:ascii="黑体" w:hAnsi="黑体" w:eastAsia="黑体" w:cs="黑体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黑体" w:hAnsi="黑体" w:eastAsia="黑体" w:cs="黑体"/>
      <w:b/>
      <w:bCs/>
      <w:i w:val="0"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 w:before="0"/>
      <w:contextualSpacing/>
      <w:jc w:val="center"/>
    </w:pPr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黑体" w:hAnsi="黑体" w:eastAsia="黑体" w:cs="黑体"/>
      <w:b/>
      <w:bCs/>
      <w:i w:val="0"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Normal"/>
    <w:next w:val="Normal"/>
    <w:uiPriority w:val="39"/>
    <w:semiHidden/>
    <w:unhideWhenUsed/>
    <w:qFormat/>
    <w:rsid w:val="00FC693F"/>
    <w:pPr>
      <w:spacing w:before="0" w:after="360"/>
      <w:jc w:val="center"/>
      <w:outlineLvl w:val="9"/>
    </w:pPr>
    <w:rPr>
      <w:rFonts w:ascii="黑体" w:hAnsi="黑体" w:eastAsia="黑体" w:cs="黑体"/>
      <w:b/>
      <w:color w:val="000000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nderBody">
    <w:name w:val="Tender Body"/>
    <w:basedOn w:val="Normal"/>
    <w:qFormat/>
    <w:pPr>
      <w:spacing w:line="360" w:lineRule="auto" w:before="0" w:after="0"/>
      <w:ind w:firstLineChars="200" w:firstLine="480"/>
      <w:jc w:val="both"/>
    </w:pPr>
  </w:style>
  <w:style w:type="paragraph" w:customStyle="1" w:styleId="TenderCover">
    <w:name w:val="Tender Cover"/>
    <w:basedOn w:val="Normal"/>
    <w:qFormat/>
    <w:pPr>
      <w:spacing w:line="360" w:lineRule="auto" w:before="0" w:after="360"/>
      <w:jc w:val="center"/>
    </w:pPr>
    <w:rPr>
      <w:rFonts w:ascii="黑体" w:hAnsi="黑体" w:eastAsia="黑体" w:cs="黑体"/>
      <w:b/>
      <w:sz w:val="44"/>
    </w:rPr>
  </w:style>
  <w:style w:type="paragraph" w:customStyle="1" w:styleId="TenderCoverSub">
    <w:name w:val="Tender Cover Sub"/>
    <w:basedOn w:val="TenderCover"/>
    <w:qFormat/>
    <w:pPr>
      <w:spacing w:after="120"/>
      <w:jc w:val="center"/>
    </w:pPr>
    <w:rPr>
      <w:b/>
      <w:sz w:val="30"/>
    </w:rPr>
  </w:style>
  <w:style w:type="paragraph" w:customStyle="1" w:styleId="TenderCaption">
    <w:name w:val="Tender Caption"/>
    <w:basedOn w:val="Normal"/>
    <w:qFormat/>
    <w:pPr>
      <w:spacing w:line="360" w:lineRule="auto" w:before="60" w:after="120"/>
      <w:jc w:val="center"/>
    </w:pPr>
    <w:rPr>
      <w:rFonts w:ascii="Times New Roman" w:hAnsi="Times New Roman" w:eastAsia="宋体" w:cs="Times New Roman"/>
      <w:sz w:val="18"/>
    </w:rPr>
  </w:style>
  <w:style w:type="paragraph" w:customStyle="1" w:styleId="TOC1">
    <w:name w:val="toc 1"/>
    <w:basedOn w:val="Normal"/>
    <w:qFormat/>
    <w:pPr>
      <w:tabs>
        <w:tab w:pos="8300" w:val="right" w:leader="dot"/>
      </w:tabs>
      <w:spacing w:line="360" w:lineRule="auto" w:before="0" w:after="0"/>
      <w:ind w:left="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2">
    <w:name w:val="toc 2"/>
    <w:basedOn w:val="Normal"/>
    <w:qFormat/>
    <w:pPr>
      <w:tabs>
        <w:tab w:pos="8300" w:val="right" w:leader="dot"/>
      </w:tabs>
      <w:spacing w:line="360" w:lineRule="auto" w:before="0" w:after="0"/>
      <w:ind w:left="48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3">
    <w:name w:val="toc 3"/>
    <w:basedOn w:val="Normal"/>
    <w:qFormat/>
    <w:pPr>
      <w:tabs>
        <w:tab w:pos="8300" w:val="right" w:leader="dot"/>
      </w:tabs>
      <w:spacing w:line="360" w:lineRule="auto" w:before="0" w:after="0"/>
      <w:ind w:left="96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enderHeader">
    <w:name w:val="Tender Header"/>
    <w:basedOn w:val="Normal"/>
    <w:pPr>
      <w:spacing w:line="240" w:lineRule="auto"/>
      <w:jc w:val="center"/>
    </w:pPr>
    <w:rPr>
      <w:rFonts w:ascii="Times New Roman" w:hAnsi="Times New Roman" w:eastAsia="宋体" w:cs="Times New Roman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