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工程验证章节</w:t>
      </w:r>
    </w:p>
    <w:p>
      <w:pPr>
        <w:pStyle w:val="TenderBody"/>
      </w:pPr>
      <w:r>
        <w:t>本项目实施分三个阶段有序推进。第一阶段需求梳理：与业主方逐项对接，确认功能边界、数据范围与验收标准，输出需求确认单并经双方签字确认。第二阶段实施交付：按确认需求完成系统部署、数据迁移与联调测试，提交交付报告并协助业主完成整体验收。第三阶段维护服务：交付后提供三年维护期，期间持续跟踪系统运行状态，及时响应故障并执行必要的版本更新，确保业务连续稳定运行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