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Artwork AI 시스템 AWS 인프라 요건</w:t>
      </w:r>
    </w:p>
    <w:p>
      <w:pPr>
        <w:spacing w:after="200"/>
      </w:pPr>
      <w:r>
        <w:rPr>
          <w:color w:val="525963"/>
          <w:sz w:val="18"/>
        </w:rPr>
        <w:t>MSP 검토 요청  |  2026년 9월 28일</w:t>
      </w:r>
    </w:p>
    <w:p>
      <w:pPr>
        <w:spacing w:after="220"/>
      </w:pPr>
      <w:r>
        <w:t>1단계 시스템은 이매진팩토리 서버에서 구축하고, 2단계에는 동국제약 AWS 환경으로 이관할 예정이다. 아래 요건을 기준으로 적정 구성과 이관·운영 방안을 제안해 주기 바란다.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80"/>
      </w:tblGrid>
      <w:tr>
        <w:tc>
          <w:tcPr>
            <w:tcW w:type="dxa" w:w="4876"/>
            <w:vAlign w:val="center"/>
            <w:shd w:fill="2536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요건</w:t>
            </w:r>
          </w:p>
        </w:tc>
        <w:tc>
          <w:tcPr>
            <w:tcW w:type="dxa" w:w="4876"/>
            <w:vAlign w:val="center"/>
            <w:shd w:fill="25364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필요한 배경과 조건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EF2F6"/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서비스 이관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sz w:val="18"/>
              </w:rPr>
              <w:t>기존 시스템·DB·파일을 AWS로 이전해야 한다. 전환 기간에는 현행 저장소와 병행 운영하며 양쪽 변경분을 누락 없이 반영해야 한다. 정본 이관 범위는 동국제약이 협의해 결정한다.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EF2F6"/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파일 저장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sz w:val="18"/>
              </w:rPr>
              <w:t>디자인 원본과 승인본, 판독·렌더 결과 및 이력을 보관한다. ai 파일은 건당 수십 MB에 이를 수 있다. 현재 파일 규모는 약 90~100GB로 언급됐으나 확정치가 아니므로, 실제 용량과 증가율을 확인해 확장 규모를 산정해야 한다.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EF2F6"/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성능과 업로드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sz w:val="18"/>
              </w:rPr>
              <w:t>여러 사용자가 파일을 올리고 자재별 판독·대조를 동시에 수행한다. 목표 처리시간, 동시 접속·동시 처리 건수, 최대 업로드 크기는 실측과 고객 협의를 거쳐 정해야 한다.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EF2F6"/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권한과 이력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sz w:val="18"/>
              </w:rPr>
              <w:t>부서·역할 및 외부 업체에 따라 접근 범위를 제한해야 한다. 열람·다운로드·수정·승인 이력을 보존하고 조회할 수 있어야 한다. 외부 계정 방식과 이력 보존 기간은 협의가 필요하다.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EF2F6"/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백업과 복구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sz w:val="18"/>
              </w:rPr>
              <w:t>원본·승인본·업무 기록의 손실에 대비해야 한다. 백업 주기와 복구 목표를 정하고, 연 1회 복구 검증 결과를 보고할 수 있어야 한다.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EF2F6"/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외부 AI 통신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sz w:val="18"/>
              </w:rPr>
              <w:t>판독 과정에서 외부 AI 서비스로 자료가 전송된다. 전송 구간 암호화와 전송 이력 관리가 필요하며, 서비스 제공자의 학습·임시 보관 정책을 확인해야 한다. 자료별 전송 허용 범위는 동국제약이 확정한다.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EEF2F6"/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시스템 연동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algun Gothic" w:hAnsi="Malgun Gothic" w:eastAsia="맑은 고딕"/>
                <w:sz w:val="18"/>
              </w:rPr>
              <w:t>2단계 ERP 연동 후보는 새 자재 등록 알림과 발주 전 조회다. 1단계 발주 이력은 파일로 받고, LIMS 자재표준서도 파일로 받아 대조한다. 전자결재 작업의뢰서 연동은 제외됐으며 QMS·공공 API 연동은 미확정이다.</w:t>
            </w:r>
          </w:p>
        </w:tc>
      </w:tr>
    </w:tbl>
    <w:p>
      <w:pPr>
        <w:spacing w:before="200" w:after="40"/>
      </w:pPr>
      <w:r>
        <w:rPr>
          <w:b/>
          <w:sz w:val="21"/>
        </w:rPr>
        <w:t>MSP 제안 요청</w:t>
      </w:r>
    </w:p>
    <w:p>
      <w:r>
        <w:t>위 요건을 충족하는 AWS 구성, 용량·비용 산정, 이관 절차, 운영 책임 범위를 제안해 주기 바란다. 미정 수치는 산정 가정과 확인 질문으로 구분해 제시해 주기 바란다.</w:t>
      </w:r>
    </w:p>
    <w:sectPr w:rsidR="00FC693F" w:rsidRPr="0006063C" w:rsidSect="00034616">
      <w:pgSz w:w="11906" w:h="16838"/>
      <w:pgMar w:top="964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Malgun Gothic" w:hAnsi="Malgun Gothic" w:eastAsia="맑은 고딕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