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2FF" w:rsidRDefault="00AA7A94" w:rsidP="00AA7A94">
      <w:pPr>
        <w:pStyle w:val="1"/>
        <w:spacing w:before="0"/>
        <w:ind w:firstLine="709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bookmarkStart w:id="0" w:name="Xcbbae8f2995eccdac45ba3b71f6909dbdfc7835"/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Методика расчета чистого дисконтированного дохода (ЧДД) по сценарию управления фондом скважин</w:t>
      </w:r>
    </w:p>
    <w:p w:rsidR="00AA7A94" w:rsidRPr="00AA7A94" w:rsidRDefault="00AA7A94" w:rsidP="00AA7A94">
      <w:pPr>
        <w:pStyle w:val="a0"/>
        <w:rPr>
          <w:lang w:val="ru-RU"/>
        </w:rPr>
      </w:pPr>
    </w:p>
    <w:p w:rsidR="005452FF" w:rsidRPr="00AA7A94" w:rsidRDefault="00AA7A94" w:rsidP="00AA7A94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1" w:name="X805c74ff58920128eecb863ec0d906600f2202b"/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1. Назначение и расчетный принцип</w:t>
      </w:r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Методика предназначена для сопоставления вариантов управления добывающим и нагнетательным фондом по единому экономическому критерию — </w:t>
      </w:r>
      <w:r w:rsidRPr="00AA7A94">
        <w:rPr>
          <w:rFonts w:cs="Times New Roman"/>
          <w:b/>
          <w:bCs/>
          <w:sz w:val="24"/>
          <w:lang w:val="ru-RU"/>
        </w:rPr>
        <w:t>чистому дисконтированному доходу (ЧДД)</w:t>
      </w:r>
      <w:r w:rsidRPr="00AA7A94">
        <w:rPr>
          <w:rFonts w:cs="Times New Roman"/>
          <w:sz w:val="24"/>
          <w:lang w:val="ru-RU"/>
        </w:rPr>
        <w:t xml:space="preserve">. Производственные показатели формируются по скважинам на месячном шаге, после чего </w:t>
      </w:r>
      <w:proofErr w:type="spellStart"/>
      <w:r w:rsidRPr="00AA7A94">
        <w:rPr>
          <w:rFonts w:cs="Times New Roman"/>
          <w:sz w:val="24"/>
          <w:lang w:val="ru-RU"/>
        </w:rPr>
        <w:t>агрегируются</w:t>
      </w:r>
      <w:proofErr w:type="spellEnd"/>
      <w:r w:rsidRPr="00AA7A94">
        <w:rPr>
          <w:rFonts w:cs="Times New Roman"/>
          <w:sz w:val="24"/>
          <w:lang w:val="ru-RU"/>
        </w:rPr>
        <w:t xml:space="preserve"> по календарным годам. Экономический расчет выполняется начиная с выбранного пользователем года; этот год принимается первым годом дисконтирования</w:t>
      </w:r>
      <w:r>
        <w:rPr>
          <w:rFonts w:cs="Times New Roman"/>
          <w:sz w:val="24"/>
          <w:lang w:val="ru-RU"/>
        </w:rPr>
        <w:t xml:space="preserve"> по умолчанию старт расчета. В тестовом сценарии это </w:t>
      </w:r>
      <w:proofErr w:type="gramStart"/>
      <w:r>
        <w:rPr>
          <w:rFonts w:cs="Times New Roman"/>
          <w:sz w:val="24"/>
          <w:lang w:val="ru-RU"/>
        </w:rPr>
        <w:t>дата</w:t>
      </w:r>
      <w:proofErr w:type="gramEnd"/>
      <w:r>
        <w:rPr>
          <w:rFonts w:cs="Times New Roman"/>
          <w:sz w:val="24"/>
          <w:lang w:val="ru-RU"/>
        </w:rPr>
        <w:t xml:space="preserve"> с которой участники управляют фондом 01.01.2014 для трека №1 и 01.01.2007 для трека №2</w:t>
      </w:r>
      <w:r w:rsidRPr="00AA7A94">
        <w:rPr>
          <w:rFonts w:cs="Times New Roman"/>
          <w:sz w:val="24"/>
          <w:lang w:val="ru-RU"/>
        </w:rPr>
        <w:t>.</w:t>
      </w:r>
    </w:p>
    <w:p w:rsidR="005452FF" w:rsidRPr="00AA7A94" w:rsidRDefault="00AA7A94" w:rsidP="00AA7A94">
      <w:pPr>
        <w:pStyle w:val="a0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В расчете используются месячные объемы добычи нефти, жидкости и закачки, дебит жидкости, приемистость, а также состояние каждой скважины на текущем и предыдущем шагах. Скважина относится к действующему фонду, если на расчетном шаге выполняется хотя бы одно условие: </w:t>
      </w:r>
      <w:proofErr w:type="gramStart"/>
      <w:r w:rsidRPr="00AA7A94">
        <w:rPr>
          <w:rStyle w:val="VerbatimChar"/>
          <w:rFonts w:ascii="Times New Roman" w:hAnsi="Times New Roman" w:cs="Times New Roman"/>
          <w:sz w:val="24"/>
        </w:rPr>
        <w:t>WLPR</w:t>
      </w:r>
      <w:r w:rsidRPr="00AA7A94">
        <w:rPr>
          <w:rStyle w:val="VerbatimChar"/>
          <w:rFonts w:ascii="Times New Roman" w:hAnsi="Times New Roman" w:cs="Times New Roman"/>
          <w:sz w:val="24"/>
          <w:lang w:val="ru-RU"/>
        </w:rPr>
        <w:t xml:space="preserve"> &gt;</w:t>
      </w:r>
      <w:proofErr w:type="gramEnd"/>
      <w:r w:rsidRPr="00AA7A94">
        <w:rPr>
          <w:rStyle w:val="VerbatimChar"/>
          <w:rFonts w:ascii="Times New Roman" w:hAnsi="Times New Roman" w:cs="Times New Roman"/>
          <w:sz w:val="24"/>
          <w:lang w:val="ru-RU"/>
        </w:rPr>
        <w:t xml:space="preserve"> 0</w:t>
      </w:r>
      <w:r w:rsidRPr="00AA7A94">
        <w:rPr>
          <w:rFonts w:cs="Times New Roman"/>
          <w:sz w:val="24"/>
          <w:lang w:val="ru-RU"/>
        </w:rPr>
        <w:t xml:space="preserve"> или </w:t>
      </w:r>
      <w:r w:rsidRPr="00AA7A94">
        <w:rPr>
          <w:rStyle w:val="VerbatimChar"/>
          <w:rFonts w:ascii="Times New Roman" w:hAnsi="Times New Roman" w:cs="Times New Roman"/>
          <w:sz w:val="24"/>
        </w:rPr>
        <w:t>WWIR</w:t>
      </w:r>
      <w:r w:rsidRPr="00AA7A94">
        <w:rPr>
          <w:rStyle w:val="VerbatimChar"/>
          <w:rFonts w:ascii="Times New Roman" w:hAnsi="Times New Roman" w:cs="Times New Roman"/>
          <w:sz w:val="24"/>
          <w:lang w:val="ru-RU"/>
        </w:rPr>
        <w:t xml:space="preserve"> &gt; 0</w:t>
      </w:r>
      <w:r w:rsidRPr="00AA7A94">
        <w:rPr>
          <w:rFonts w:cs="Times New Roman"/>
          <w:sz w:val="24"/>
          <w:lang w:val="ru-RU"/>
        </w:rPr>
        <w:t>. Остановленная скважина в действующий фонд не включается.</w:t>
      </w:r>
    </w:p>
    <w:p w:rsid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  <w:lang w:val="ru-RU"/>
        </w:rPr>
      </w:pP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Для года </w:t>
      </w:r>
      <m:oMath>
        <m:r>
          <w:rPr>
            <w:rFonts w:ascii="Cambria Math" w:hAnsi="Cambria Math" w:cs="Times New Roman"/>
            <w:sz w:val="24"/>
          </w:rPr>
          <m:t>y</m:t>
        </m:r>
      </m:oMath>
      <w:r w:rsidRPr="00AA7A94">
        <w:rPr>
          <w:rFonts w:cs="Times New Roman"/>
          <w:sz w:val="24"/>
          <w:lang w:val="ru-RU"/>
        </w:rPr>
        <w:t xml:space="preserve"> производственные показатели определяются суммированием месячных данных: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oil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​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</m:nary>
            </m:e>
          </m:nary>
          <m:r>
            <w:rPr>
              <w:rFonts w:ascii="Cambria Math" w:hAnsi="Cambria Math" w:cs="Times New Roman"/>
              <w:sz w:val="24"/>
            </w:rPr>
            <m:t>OMT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_</m:t>
          </m:r>
          <m:r>
            <w:rPr>
              <w:rFonts w:ascii="Cambria Math" w:hAnsi="Cambria Math" w:cs="Times New Roman"/>
              <w:sz w:val="24"/>
            </w:rPr>
            <m:t>Dif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  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liq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​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</m:nary>
            </m:e>
          </m:nary>
          <m:r>
            <w:rPr>
              <w:rFonts w:ascii="Cambria Math" w:hAnsi="Cambria Math" w:cs="Times New Roman"/>
              <w:sz w:val="24"/>
            </w:rPr>
            <m:t>LPT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_</m:t>
          </m:r>
          <m:r>
            <w:rPr>
              <w:rFonts w:ascii="Cambria Math" w:hAnsi="Cambria Math" w:cs="Times New Roman"/>
              <w:sz w:val="24"/>
            </w:rPr>
            <m:t>Dif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</m:oMath>
      </m:oMathPara>
    </w:p>
    <w:p w:rsidR="005452FF" w:rsidRPr="00AA7A94" w:rsidRDefault="00AA7A94" w:rsidP="00AA7A94">
      <w:pPr>
        <w:pStyle w:val="FirstParagraph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inj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​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</m:nary>
            </m:e>
          </m:nary>
          <m:r>
            <w:rPr>
              <w:rFonts w:ascii="Cambria Math" w:hAnsi="Cambria Math" w:cs="Times New Roman"/>
              <w:sz w:val="24"/>
            </w:rPr>
            <m:t>WIT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_</m:t>
          </m:r>
          <m:r>
            <w:rPr>
              <w:rFonts w:ascii="Cambria Math" w:hAnsi="Cambria Math" w:cs="Times New Roman"/>
              <w:sz w:val="24"/>
            </w:rPr>
            <m:t>Dif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AA7A94" w:rsidRDefault="00AA7A94" w:rsidP="00AA7A94">
      <w:pPr>
        <w:pStyle w:val="FirstParagraph"/>
        <w:keepLines/>
        <w:spacing w:before="0" w:after="0"/>
        <w:ind w:firstLine="709"/>
        <w:jc w:val="center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Здесь </w:t>
      </w:r>
      <m:oMath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oil</m:t>
            </m:r>
          </m:sup>
        </m:sSup>
      </m:oMath>
      <w:r w:rsidRPr="00AA7A94">
        <w:rPr>
          <w:rFonts w:cs="Times New Roman"/>
          <w:sz w:val="24"/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liq</m:t>
            </m:r>
          </m:sup>
        </m:sSup>
      </m:oMath>
      <w:r w:rsidRPr="00AA7A94">
        <w:rPr>
          <w:rFonts w:cs="Times New Roman"/>
          <w:sz w:val="24"/>
          <w:lang w:val="ru-RU"/>
        </w:rPr>
        <w:t xml:space="preserve"> выражаются </w:t>
      </w:r>
      <w:r>
        <w:rPr>
          <w:rFonts w:cs="Times New Roman"/>
          <w:sz w:val="24"/>
          <w:lang w:val="ru-RU"/>
        </w:rPr>
        <w:t>в</w:t>
      </w:r>
      <w:r w:rsidRPr="00AA7A94">
        <w:rPr>
          <w:rFonts w:cs="Times New Roman"/>
          <w:sz w:val="24"/>
          <w:lang w:val="ru-RU"/>
        </w:rPr>
        <w:t xml:space="preserve"> тыс. м³. </w:t>
      </w:r>
    </w:p>
    <w:p w:rsidR="005452FF" w:rsidRPr="00AA7A94" w:rsidRDefault="00AA7A94" w:rsidP="00AA7A94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2" w:name="X205d2eb8697266cb11dbc91c9128b9051a42689"/>
      <w:bookmarkEnd w:id="1"/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2. Формирование выручки, </w:t>
      </w:r>
      <w:r w:rsidRPr="00AA7A94">
        <w:rPr>
          <w:rFonts w:ascii="Times New Roman" w:eastAsia="Times New Roman" w:hAnsi="Times New Roman" w:cs="Times New Roman"/>
          <w:color w:val="auto"/>
          <w:sz w:val="24"/>
          <w:szCs w:val="24"/>
        </w:rPr>
        <w:t>OPEX</w:t>
      </w:r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AA7A94">
        <w:rPr>
          <w:rFonts w:ascii="Times New Roman" w:eastAsia="Times New Roman" w:hAnsi="Times New Roman" w:cs="Times New Roman"/>
          <w:color w:val="auto"/>
          <w:sz w:val="24"/>
          <w:szCs w:val="24"/>
        </w:rPr>
        <w:t>CAPEX</w:t>
      </w:r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>Выручка от основной деятельности определяется добычей нефти и приведенной ценой реализации: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Выручка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main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oil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</w:rPr>
                <m:t> 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oil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>где результат выражается в млн руб. Цена реализации и прочие стоимостные предпосылки могут задаваться отдельно по каждому году.</w:t>
      </w:r>
    </w:p>
    <w:p w:rsidR="005452FF" w:rsidRPr="00AA7A94" w:rsidRDefault="00AA7A94" w:rsidP="00AA7A94">
      <w:pPr>
        <w:pStyle w:val="a0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>Основные операционные расходы рассчитываются по удельным нормативам: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oil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oil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oil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liq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liq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liq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inj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inj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inj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>Затраты на содержание действующего фонда: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фонд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норматив</m:t>
              </m:r>
            </m:sup>
          </m:sSubSup>
          <m:r>
            <w:rPr>
              <w:rFonts w:ascii="Cambria Math" w:hAnsi="Cambria Math" w:cs="Times New Roman"/>
              <w:sz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фонд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Событийные затраты определяются автоматически сравнением текущего состояния скважины с предыдущим расчетным шагом. Для смены типоразмера ЭЦН стоимость операции относится в </w:t>
      </w:r>
      <w:r w:rsidRPr="00AA7A94">
        <w:rPr>
          <w:rFonts w:cs="Times New Roman"/>
          <w:sz w:val="24"/>
        </w:rPr>
        <w:t>OPEX</w:t>
      </w:r>
      <w:r w:rsidRPr="00AA7A94">
        <w:rPr>
          <w:rFonts w:cs="Times New Roman"/>
          <w:sz w:val="24"/>
          <w:lang w:val="ru-RU"/>
        </w:rPr>
        <w:t xml:space="preserve">, а стоимость вновь устанавливаемого насоса — в </w:t>
      </w:r>
      <w:r w:rsidRPr="00AA7A94">
        <w:rPr>
          <w:rFonts w:cs="Times New Roman"/>
          <w:sz w:val="24"/>
        </w:rPr>
        <w:t>CAPEX</w:t>
      </w:r>
      <w:r w:rsidRPr="00AA7A94">
        <w:rPr>
          <w:rFonts w:cs="Times New Roman"/>
          <w:sz w:val="24"/>
          <w:lang w:val="ru-RU"/>
        </w:rPr>
        <w:t>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смена насоса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кол-во операций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стоимость операции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  CAPE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стоимость насоса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∈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цена насосов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Если дебит жидкости остается внутри рабочего интервала установленного ЭЦН, замена не выполняется. При превышении верхней границы выбирается минимальный подходящий больший типоразмер. Переход на меньший типоразмер допускается только при снижении </w:t>
      </w:r>
      <w:r w:rsidRPr="00AA7A94">
        <w:rPr>
          <w:rStyle w:val="VerbatimChar"/>
          <w:rFonts w:ascii="Times New Roman" w:hAnsi="Times New Roman" w:cs="Times New Roman"/>
          <w:sz w:val="24"/>
        </w:rPr>
        <w:t>WLPR</w:t>
      </w:r>
      <w:r w:rsidRPr="00AA7A94">
        <w:rPr>
          <w:rFonts w:cs="Times New Roman"/>
          <w:sz w:val="24"/>
          <w:lang w:val="ru-RU"/>
        </w:rPr>
        <w:t xml:space="preserve"> более чем на 100 м³/</w:t>
      </w:r>
      <w:proofErr w:type="spellStart"/>
      <w:r w:rsidRPr="00AA7A94">
        <w:rPr>
          <w:rFonts w:cs="Times New Roman"/>
          <w:sz w:val="24"/>
          <w:lang w:val="ru-RU"/>
        </w:rPr>
        <w:t>сут</w:t>
      </w:r>
      <w:proofErr w:type="spellEnd"/>
      <w:r w:rsidRPr="00AA7A94">
        <w:rPr>
          <w:rFonts w:cs="Times New Roman"/>
          <w:sz w:val="24"/>
          <w:lang w:val="ru-RU"/>
        </w:rPr>
        <w:t xml:space="preserve"> относительно нижней границы рабочего интервала текущего насоса. При перекрытии диапазонов сохраняется установленный насос, если текущий режим остается допустимым.</w:t>
      </w:r>
    </w:p>
    <w:p w:rsidR="005452FF" w:rsidRPr="00AA7A94" w:rsidRDefault="00AA7A94" w:rsidP="00AA7A94">
      <w:pPr>
        <w:pStyle w:val="a0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Остановка и запуск фиксируются по смене состояния </w:t>
      </w:r>
      <w:r>
        <w:rPr>
          <w:rFonts w:cs="Times New Roman"/>
          <w:sz w:val="24"/>
          <w:lang w:val="ru-RU"/>
        </w:rPr>
        <w:t>работы скважины</w:t>
      </w:r>
      <w:r w:rsidRPr="00AA7A94">
        <w:rPr>
          <w:rFonts w:cs="Times New Roman"/>
          <w:sz w:val="24"/>
          <w:lang w:val="ru-RU"/>
        </w:rPr>
        <w:t xml:space="preserve"> между соседними шагами:</w:t>
      </w:r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>
        <w:rPr>
          <w:rFonts w:cs="Times New Roman"/>
          <w:sz w:val="24"/>
          <w:lang w:val="ru-RU"/>
        </w:rPr>
        <w:t>П</w:t>
      </w:r>
      <w:r w:rsidRPr="00AA7A94">
        <w:rPr>
          <w:rFonts w:cs="Times New Roman"/>
          <w:sz w:val="24"/>
          <w:lang w:val="ru-RU"/>
        </w:rPr>
        <w:t>еревод добывающей скважины под закачку фиксируется</w:t>
      </w:r>
      <w:r w:rsidR="004822BD">
        <w:rPr>
          <w:rFonts w:cs="Times New Roman"/>
          <w:sz w:val="24"/>
          <w:lang w:val="ru-RU"/>
        </w:rPr>
        <w:t xml:space="preserve"> (стоимость перевода 5,0 млн </w:t>
      </w:r>
      <w:proofErr w:type="spellStart"/>
      <w:r w:rsidR="004822BD">
        <w:rPr>
          <w:rFonts w:cs="Times New Roman"/>
          <w:sz w:val="24"/>
          <w:lang w:val="ru-RU"/>
        </w:rPr>
        <w:t>руб</w:t>
      </w:r>
      <w:proofErr w:type="spellEnd"/>
      <w:r w:rsidR="004822BD">
        <w:rPr>
          <w:rFonts w:cs="Times New Roman"/>
          <w:sz w:val="24"/>
          <w:lang w:val="ru-RU"/>
        </w:rPr>
        <w:t>)</w:t>
      </w:r>
      <w:r w:rsidRPr="00AA7A94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  <w:lang w:val="ru-RU"/>
        </w:rPr>
        <w:t>когда</w:t>
      </w:r>
      <w:r w:rsidRPr="00AA7A94">
        <w:rPr>
          <w:rFonts w:cs="Times New Roman"/>
          <w:sz w:val="24"/>
          <w:lang w:val="ru-RU"/>
        </w:rPr>
        <w:t xml:space="preserve"> на предыдущем шаге скважина работала на добычу, а на текущем добыча прекращена и появляется приемистость. Все затраты перевода учитываются в </w:t>
      </w:r>
      <w:r w:rsidRPr="00AA7A94">
        <w:rPr>
          <w:rFonts w:cs="Times New Roman"/>
          <w:sz w:val="24"/>
        </w:rPr>
        <w:t>OPEX</w:t>
      </w:r>
      <w:r w:rsidRPr="00AA7A94">
        <w:rPr>
          <w:rFonts w:cs="Times New Roman"/>
          <w:sz w:val="24"/>
          <w:lang w:val="ru-RU"/>
        </w:rPr>
        <w:t xml:space="preserve"> один раз: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ВНС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lang w:val="ru-RU"/>
            </w:rPr>
            <m:t>5.0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</w:rPr>
                <m:t>ESP</m:t>
              </m:r>
            </m:sup>
          </m:sSubSup>
          <m:r>
            <w:rPr>
              <w:rFonts w:ascii="Cambria Math" w:hAnsi="Cambria Math" w:cs="Times New Roman"/>
              <w:sz w:val="24"/>
              <w:lang w:val="ru-RU"/>
            </w:rPr>
            <m:t> </m:t>
          </m:r>
          <m:r>
            <m:rPr>
              <m:nor/>
            </m:rPr>
            <w:rPr>
              <w:rFonts w:cs="Times New Roman"/>
              <w:sz w:val="24"/>
              <w:lang w:val="ru-RU"/>
            </w:rPr>
            <m:t>млн руб.</m:t>
          </m:r>
        </m:oMath>
      </m:oMathPara>
    </w:p>
    <w:p w:rsid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Отдельная стоимость остановки при непосредственном переводе под закачку не начисляется, поскольку скважина остается действующей. </w:t>
      </w:r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Общий </w:t>
      </w:r>
      <w:r w:rsidRPr="00AA7A94">
        <w:rPr>
          <w:rFonts w:cs="Times New Roman"/>
          <w:sz w:val="24"/>
        </w:rPr>
        <w:t>OPEX</w:t>
      </w:r>
      <w:r w:rsidRPr="00AA7A94">
        <w:rPr>
          <w:rFonts w:cs="Times New Roman"/>
          <w:sz w:val="24"/>
          <w:lang w:val="ru-RU"/>
        </w:rPr>
        <w:t xml:space="preserve"> основной деятельности: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prod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oil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liq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inj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фонд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,</m:t>
          </m:r>
        </m:oMath>
      </m:oMathPara>
    </w:p>
    <w:p w:rsidR="005452FF" w:rsidRPr="00AA7A94" w:rsidRDefault="00AA7A94" w:rsidP="00AA7A94">
      <w:pPr>
        <w:pStyle w:val="FirstParagraph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полный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добыча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смена насоса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остановки запуски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ВНС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Полный </w:t>
      </w:r>
      <w:r w:rsidRPr="00AA7A94">
        <w:rPr>
          <w:rFonts w:cs="Times New Roman"/>
          <w:sz w:val="24"/>
        </w:rPr>
        <w:t>CAPEX</w:t>
      </w:r>
      <w:r w:rsidRPr="00AA7A94">
        <w:rPr>
          <w:rFonts w:cs="Times New Roman"/>
          <w:sz w:val="24"/>
          <w:lang w:val="ru-RU"/>
        </w:rPr>
        <w:t xml:space="preserve"> включает стоимость новых ЭЦН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CAPE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CAPE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насосы</m:t>
              </m:r>
            </m:sup>
          </m:sSubSup>
        </m:oMath>
      </m:oMathPara>
    </w:p>
    <w:p w:rsidR="005452FF" w:rsidRPr="00AA7A94" w:rsidRDefault="00AA7A94" w:rsidP="00AA7A94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3" w:name="Xb7ff73a707fc210f642648a83664de616d9754c"/>
      <w:bookmarkEnd w:id="2"/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3. Отчисления, связанные с добычей нефти: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Отчисления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oil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ded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</w:rPr>
      </w:pPr>
      <w:r w:rsidRPr="00AA7A94">
        <w:rPr>
          <w:rFonts w:cs="Times New Roman"/>
          <w:sz w:val="24"/>
          <w:lang w:val="ru-RU"/>
        </w:rPr>
        <w:t xml:space="preserve">Прибыль до налогообложения рассчитывается после учета </w:t>
      </w:r>
      <w:r w:rsidRPr="00AA7A94">
        <w:rPr>
          <w:rFonts w:cs="Times New Roman"/>
          <w:sz w:val="24"/>
        </w:rPr>
        <w:t>OPEX</w:t>
      </w:r>
      <w:r w:rsidRPr="00AA7A94">
        <w:rPr>
          <w:rFonts w:cs="Times New Roman"/>
          <w:sz w:val="24"/>
          <w:lang w:val="ru-RU"/>
        </w:rPr>
        <w:t>, амортизации, отчислений и прочих доходов/расходов:</w:t>
      </w:r>
    </w:p>
    <w:p w:rsidR="005452FF" w:rsidRPr="00AA7A94" w:rsidRDefault="00AA7A94" w:rsidP="00AA7A94">
      <w:pPr>
        <w:pStyle w:val="a0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Показатель </w:t>
      </w:r>
      <w:r w:rsidRPr="00AA7A94">
        <w:rPr>
          <w:rFonts w:cs="Times New Roman"/>
          <w:sz w:val="24"/>
        </w:rPr>
        <w:t>EBITDA</w:t>
      </w:r>
      <w:r w:rsidRPr="00AA7A94">
        <w:rPr>
          <w:rFonts w:cs="Times New Roman"/>
          <w:sz w:val="24"/>
          <w:lang w:val="ru-RU"/>
        </w:rPr>
        <w:t xml:space="preserve"> и свободный денежный поток определяются следующим образом: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EBITD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Выручка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-</m:t>
          </m:r>
          <m:r>
            <w:rPr>
              <w:rFonts w:ascii="Cambria Math" w:hAnsi="Cambria Math" w:cs="Times New Roman"/>
              <w:sz w:val="24"/>
            </w:rPr>
            <m:t>OPE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Отчисления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-</m:t>
          </m:r>
          <m:r>
            <w:rPr>
              <w:rFonts w:ascii="Cambria Math" w:hAnsi="Cambria Math" w:cs="Times New Roman"/>
              <w:sz w:val="24"/>
            </w:rPr>
            <m:t>D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incl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</m:oMath>
      </m:oMathPara>
    </w:p>
    <w:p w:rsidR="005452FF" w:rsidRPr="00AA7A94" w:rsidRDefault="00AA7A94" w:rsidP="00AA7A94">
      <w:pPr>
        <w:pStyle w:val="FirstParagraph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FC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EBITD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-</m:t>
          </m:r>
          <m:r>
            <w:rPr>
              <w:rFonts w:ascii="Cambria Math" w:hAnsi="Cambria Math" w:cs="Times New Roman"/>
              <w:sz w:val="24"/>
            </w:rPr>
            <m:t>CAPE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Таким образом, стоимость нового ЭЦН уменьшает </w:t>
      </w:r>
      <w:r w:rsidRPr="00AA7A94">
        <w:rPr>
          <w:rFonts w:cs="Times New Roman"/>
          <w:sz w:val="24"/>
        </w:rPr>
        <w:t>FCF</w:t>
      </w:r>
      <w:r w:rsidRPr="00AA7A94">
        <w:rPr>
          <w:rFonts w:cs="Times New Roman"/>
          <w:sz w:val="24"/>
          <w:lang w:val="ru-RU"/>
        </w:rPr>
        <w:t xml:space="preserve"> через </w:t>
      </w:r>
      <w:r w:rsidRPr="00AA7A94">
        <w:rPr>
          <w:rFonts w:cs="Times New Roman"/>
          <w:sz w:val="24"/>
        </w:rPr>
        <w:t>CAPEX</w:t>
      </w:r>
      <w:r w:rsidRPr="00AA7A94">
        <w:rPr>
          <w:rFonts w:cs="Times New Roman"/>
          <w:sz w:val="24"/>
          <w:lang w:val="ru-RU"/>
        </w:rPr>
        <w:t xml:space="preserve">, стоимость операции по его смене — через </w:t>
      </w:r>
      <w:r w:rsidRPr="00AA7A94">
        <w:rPr>
          <w:rFonts w:cs="Times New Roman"/>
          <w:sz w:val="24"/>
        </w:rPr>
        <w:t>OPEX</w:t>
      </w:r>
      <w:r w:rsidRPr="00AA7A94">
        <w:rPr>
          <w:rFonts w:cs="Times New Roman"/>
          <w:sz w:val="24"/>
          <w:lang w:val="ru-RU"/>
        </w:rPr>
        <w:t xml:space="preserve">, а перевод скважины под закачку полностью относится в </w:t>
      </w:r>
      <w:r w:rsidRPr="00AA7A94">
        <w:rPr>
          <w:rFonts w:cs="Times New Roman"/>
          <w:sz w:val="24"/>
        </w:rPr>
        <w:t>OPEX</w:t>
      </w:r>
      <w:r w:rsidRPr="00AA7A94">
        <w:rPr>
          <w:rFonts w:cs="Times New Roman"/>
          <w:sz w:val="24"/>
          <w:lang w:val="ru-RU"/>
        </w:rPr>
        <w:t>.</w:t>
      </w:r>
    </w:p>
    <w:p w:rsidR="005452FF" w:rsidRPr="00AA7A94" w:rsidRDefault="00AA7A94" w:rsidP="00AA7A94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4" w:name="Xbd709f039738f76a2a82d5127cefeedf2f58eb6"/>
      <w:bookmarkEnd w:id="3"/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4. Дисконтирование и расчет ЧДД</w:t>
      </w:r>
    </w:p>
    <w:p w:rsidR="005452FF" w:rsidRPr="00AA7A94" w:rsidRDefault="00AA7A94" w:rsidP="00AA7A94">
      <w:pPr>
        <w:pStyle w:val="FirstParagraph"/>
        <w:keepLines/>
        <w:spacing w:before="0" w:after="0"/>
        <w:ind w:firstLine="709"/>
        <w:jc w:val="center"/>
        <w:rPr>
          <w:rFonts w:cs="Times New Roman"/>
          <w:sz w:val="24"/>
        </w:rPr>
      </w:pPr>
      <w:r w:rsidRPr="00AA7A94">
        <w:rPr>
          <w:rFonts w:cs="Times New Roman"/>
          <w:sz w:val="24"/>
          <w:lang w:val="ru-RU"/>
        </w:rPr>
        <w:t xml:space="preserve">Для выбранного стартового года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lang w:val="ru-RU"/>
              </w:rPr>
              <m:t>0</m:t>
            </m:r>
          </m:sub>
        </m:sSub>
      </m:oMath>
      <w:r w:rsidRPr="00AA7A94">
        <w:rPr>
          <w:rFonts w:cs="Times New Roman"/>
          <w:sz w:val="24"/>
          <w:lang w:val="ru-RU"/>
        </w:rPr>
        <w:t xml:space="preserve"> коэффициент дисконтирования принимается равным 1. </w:t>
      </w:r>
      <w:proofErr w:type="spellStart"/>
      <w:r w:rsidRPr="00AA7A94">
        <w:rPr>
          <w:rFonts w:cs="Times New Roman"/>
          <w:sz w:val="24"/>
        </w:rPr>
        <w:t>Для</w:t>
      </w:r>
      <w:proofErr w:type="spellEnd"/>
      <w:r w:rsidRPr="00AA7A94">
        <w:rPr>
          <w:rFonts w:cs="Times New Roman"/>
          <w:sz w:val="24"/>
        </w:rPr>
        <w:t xml:space="preserve"> </w:t>
      </w:r>
      <w:proofErr w:type="spellStart"/>
      <w:r w:rsidRPr="00AA7A94">
        <w:rPr>
          <w:rFonts w:cs="Times New Roman"/>
          <w:sz w:val="24"/>
        </w:rPr>
        <w:t>каждого</w:t>
      </w:r>
      <w:proofErr w:type="spellEnd"/>
      <w:r w:rsidRPr="00AA7A94">
        <w:rPr>
          <w:rFonts w:cs="Times New Roman"/>
          <w:sz w:val="24"/>
        </w:rPr>
        <w:t xml:space="preserve"> </w:t>
      </w:r>
      <w:proofErr w:type="spellStart"/>
      <w:r w:rsidRPr="00AA7A94">
        <w:rPr>
          <w:rFonts w:cs="Times New Roman"/>
          <w:sz w:val="24"/>
        </w:rPr>
        <w:t>последующего</w:t>
      </w:r>
      <w:proofErr w:type="spellEnd"/>
      <w:r w:rsidRPr="00AA7A94">
        <w:rPr>
          <w:rFonts w:cs="Times New Roman"/>
          <w:sz w:val="24"/>
        </w:rPr>
        <w:t xml:space="preserve"> </w:t>
      </w:r>
      <w:proofErr w:type="spellStart"/>
      <w:r w:rsidRPr="00AA7A94">
        <w:rPr>
          <w:rFonts w:cs="Times New Roman"/>
          <w:sz w:val="24"/>
        </w:rPr>
        <w:t>года</w:t>
      </w:r>
      <w:proofErr w:type="spellEnd"/>
      <w:r w:rsidRPr="00AA7A94">
        <w:rPr>
          <w:rFonts w:cs="Times New Roman"/>
          <w:sz w:val="24"/>
        </w:rPr>
        <w:t>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D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</w:rPr>
                        <m:t>WACC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0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4822BD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В рамках данной методики </w:t>
      </w:r>
      <w:r w:rsidRPr="00AA7A94">
        <w:rPr>
          <w:rFonts w:cs="Times New Roman"/>
          <w:b/>
          <w:bCs/>
          <w:sz w:val="24"/>
          <w:lang w:val="ru-RU"/>
        </w:rPr>
        <w:t>ЧДД на расчетном шаге</w:t>
      </w:r>
      <w:r w:rsidRPr="00AA7A94">
        <w:rPr>
          <w:rFonts w:cs="Times New Roman"/>
          <w:sz w:val="24"/>
          <w:lang w:val="ru-RU"/>
        </w:rPr>
        <w:t xml:space="preserve"> — дисконтированный свободный денежный поток:</w:t>
      </w:r>
    </w:p>
    <w:p w:rsidR="005452FF" w:rsidRPr="00AA7A94" w:rsidRDefault="00AA7A94" w:rsidP="004822BD">
      <w:pPr>
        <w:pStyle w:val="a0"/>
        <w:keepLines/>
        <w:spacing w:before="0" w:after="0"/>
        <w:ind w:firstLine="709"/>
        <w:rPr>
          <w:rFonts w:cs="Times New Roman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ЧДД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FC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</w:rPr>
            <m:t> D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4822BD">
      <w:pPr>
        <w:pStyle w:val="FirstParagraph"/>
        <w:keepLines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Итоговый ЧДД сценария за горизонт </w:t>
      </w:r>
      <m:oMath>
        <m:r>
          <w:rPr>
            <w:rFonts w:ascii="Cambria Math" w:hAnsi="Cambria Math" w:cs="Times New Roman"/>
            <w:sz w:val="24"/>
          </w:rPr>
          <m:t>T</m:t>
        </m:r>
      </m:oMath>
      <w:r w:rsidRPr="00AA7A94">
        <w:rPr>
          <w:rFonts w:cs="Times New Roman"/>
          <w:sz w:val="24"/>
          <w:lang w:val="ru-RU"/>
        </w:rPr>
        <w:t xml:space="preserve"> определяется суммой дисконтированных потоков:</w:t>
      </w:r>
    </w:p>
    <w:p w:rsidR="005452FF" w:rsidRPr="00AA7A94" w:rsidRDefault="00AA7A94" w:rsidP="004822BD">
      <w:pPr>
        <w:pStyle w:val="a0"/>
        <w:keepLines/>
        <w:spacing w:before="0" w:after="0"/>
        <w:ind w:firstLine="709"/>
        <w:rPr>
          <w:rFonts w:cs="Times New Roman"/>
          <w:sz w:val="24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4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ЧДД=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</w:rPr>
                        <m:t>FC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y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WACC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sup>
                      </m:sSup>
                    </m:den>
                  </m:f>
                </m:e>
              </m:nary>
            </m:e>
          </m:borderBox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4822BD">
      <w:pPr>
        <w:pStyle w:val="FirstParagraph"/>
        <w:keepLines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>Изменение стартовой даты автоматически сдвигает базу дисконтирования.</w:t>
      </w:r>
    </w:p>
    <w:p w:rsidR="005452FF" w:rsidRPr="00AA7A94" w:rsidRDefault="00AA7A94" w:rsidP="004822BD">
      <w:pPr>
        <w:pStyle w:val="a0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Для дополнительного контроля </w:t>
      </w:r>
      <w:r>
        <w:rPr>
          <w:rFonts w:cs="Times New Roman"/>
          <w:sz w:val="24"/>
          <w:lang w:val="ru-RU"/>
        </w:rPr>
        <w:t>может</w:t>
      </w:r>
      <w:r w:rsidRPr="00AA7A94">
        <w:rPr>
          <w:rFonts w:cs="Times New Roman"/>
          <w:sz w:val="24"/>
          <w:lang w:val="ru-RU"/>
        </w:rPr>
        <w:t xml:space="preserve"> рассчитываться индекс доходности затрат:</w:t>
      </w:r>
    </w:p>
    <w:p w:rsidR="005452FF" w:rsidRPr="00AA7A94" w:rsidRDefault="00AA7A94" w:rsidP="004822BD">
      <w:pPr>
        <w:pStyle w:val="FirstParagraph"/>
        <w:keepLines/>
        <w:spacing w:before="0" w:after="0"/>
        <w:ind w:firstLine="709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ID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∑</m:t>
              </m:r>
              <m:r>
                <w:rPr>
                  <w:rFonts w:ascii="Cambria Math" w:hAnsi="Cambria Math" w:cs="Times New Roman"/>
                  <w:sz w:val="24"/>
                </w:rPr>
                <m:t>P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in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∑</m:t>
              </m:r>
              <m:r>
                <w:rPr>
                  <w:rFonts w:ascii="Cambria Math" w:hAnsi="Cambria Math" w:cs="Times New Roman"/>
                  <w:sz w:val="24"/>
                </w:rPr>
                <m:t>P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out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AA7A94" w:rsidRDefault="00AA7A94">
      <w:pPr>
        <w:spacing w:after="200"/>
        <w:ind w:firstLine="0"/>
        <w:jc w:val="left"/>
        <w:rPr>
          <w:rFonts w:cs="Times New Roman"/>
          <w:b/>
          <w:bCs/>
          <w:sz w:val="24"/>
          <w:lang w:val="ru-RU"/>
        </w:rPr>
      </w:pPr>
      <w:bookmarkStart w:id="5" w:name="справочные-исходные-нормативы"/>
      <w:bookmarkEnd w:id="4"/>
      <w:r>
        <w:rPr>
          <w:rFonts w:cs="Times New Roman"/>
          <w:sz w:val="24"/>
          <w:lang w:val="ru-RU"/>
        </w:rPr>
        <w:br w:type="page"/>
      </w:r>
    </w:p>
    <w:p w:rsidR="005452FF" w:rsidRPr="00AA7A94" w:rsidRDefault="00AA7A94" w:rsidP="00AA7A94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Справочные исходные нормативы</w:t>
      </w:r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>Приведенные значения используются как базовые и могут изменяться по годам в зависимости от условий сценария.</w:t>
      </w:r>
    </w:p>
    <w:tbl>
      <w:tblPr>
        <w:tblStyle w:val="Table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020" w:firstRow="1" w:lastRow="0" w:firstColumn="0" w:lastColumn="0" w:noHBand="0" w:noVBand="0"/>
      </w:tblPr>
      <w:tblGrid>
        <w:gridCol w:w="3926"/>
        <w:gridCol w:w="2107"/>
        <w:gridCol w:w="2314"/>
      </w:tblGrid>
      <w:tr w:rsidR="00AA7A94" w:rsidRPr="00AA7A94" w:rsidTr="00545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b/>
                <w:sz w:val="24"/>
              </w:rPr>
              <w:t>Показатель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b/>
                <w:sz w:val="24"/>
              </w:rPr>
              <w:t>Единица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b/>
                <w:sz w:val="24"/>
              </w:rPr>
              <w:t>Базовое значение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Приведенная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цена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реализации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нефти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руб./т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28 000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Удельные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отчисления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руб./т нефти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19 600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Удельный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OPEX </w:t>
            </w:r>
            <w:proofErr w:type="spellStart"/>
            <w:r w:rsidRPr="00AA7A94">
              <w:rPr>
                <w:rFonts w:cs="Times New Roman"/>
                <w:sz w:val="24"/>
              </w:rPr>
              <w:t>на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нефть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руб./т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40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Удельный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OPEX </w:t>
            </w:r>
            <w:proofErr w:type="spellStart"/>
            <w:r w:rsidRPr="00AA7A94">
              <w:rPr>
                <w:rFonts w:cs="Times New Roman"/>
                <w:sz w:val="24"/>
              </w:rPr>
              <w:t>на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жидкость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руб./т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100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Удельный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OPEX </w:t>
            </w:r>
            <w:proofErr w:type="spellStart"/>
            <w:r w:rsidRPr="00AA7A94">
              <w:rPr>
                <w:rFonts w:cs="Times New Roman"/>
                <w:sz w:val="24"/>
              </w:rPr>
              <w:t>на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закачку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руб./м³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30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Затраты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на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действующий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фонд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млн руб./</w:t>
            </w:r>
            <w:proofErr w:type="gramStart"/>
            <w:r w:rsidRPr="00AA7A94">
              <w:rPr>
                <w:rFonts w:cs="Times New Roman"/>
                <w:sz w:val="24"/>
              </w:rPr>
              <w:t>скв.-</w:t>
            </w:r>
            <w:proofErr w:type="gramEnd"/>
            <w:r w:rsidRPr="00AA7A94">
              <w:rPr>
                <w:rFonts w:cs="Times New Roman"/>
                <w:sz w:val="24"/>
              </w:rPr>
              <w:t>год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1.0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Операция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по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смене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ЭЦН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млн руб./операцию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1.8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Остановка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или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запуск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скважины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млн руб./событие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1.0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Перевод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скважины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под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закачку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млн руб./событие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5.0 + стоимость ЭЦН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Налог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на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имущество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%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2.2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24"/>
              </w:rPr>
              <w:t>Налог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на</w:t>
            </w:r>
            <w:proofErr w:type="spellEnd"/>
            <w:r w:rsidRPr="00AA7A94">
              <w:rPr>
                <w:rFonts w:cs="Times New Roman"/>
                <w:sz w:val="24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24"/>
              </w:rPr>
              <w:t>прибыль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%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25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WACC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%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24"/>
              </w:rPr>
              <w:t>10</w:t>
            </w:r>
          </w:p>
        </w:tc>
      </w:tr>
    </w:tbl>
    <w:p w:rsidR="005452FF" w:rsidRPr="00AA7A94" w:rsidRDefault="00AA7A94" w:rsidP="00AA7A94">
      <w:pPr>
        <w:pStyle w:val="a0"/>
        <w:spacing w:before="0" w:after="0"/>
        <w:ind w:firstLine="709"/>
        <w:rPr>
          <w:rFonts w:cs="Times New Roman"/>
          <w:sz w:val="24"/>
        </w:rPr>
      </w:pPr>
      <w:proofErr w:type="spellStart"/>
      <w:r w:rsidRPr="00AA7A94">
        <w:rPr>
          <w:rFonts w:cs="Times New Roman"/>
          <w:b/>
          <w:bCs/>
          <w:sz w:val="24"/>
        </w:rPr>
        <w:t>Справочная</w:t>
      </w:r>
      <w:proofErr w:type="spellEnd"/>
      <w:r w:rsidRPr="00AA7A94">
        <w:rPr>
          <w:rFonts w:cs="Times New Roman"/>
          <w:b/>
          <w:bCs/>
          <w:sz w:val="24"/>
        </w:rPr>
        <w:t xml:space="preserve"> </w:t>
      </w:r>
      <w:proofErr w:type="spellStart"/>
      <w:r w:rsidRPr="00AA7A94">
        <w:rPr>
          <w:rFonts w:cs="Times New Roman"/>
          <w:b/>
          <w:bCs/>
          <w:sz w:val="24"/>
        </w:rPr>
        <w:t>стоимость</w:t>
      </w:r>
      <w:proofErr w:type="spellEnd"/>
      <w:r w:rsidRPr="00AA7A94">
        <w:rPr>
          <w:rFonts w:cs="Times New Roman"/>
          <w:b/>
          <w:bCs/>
          <w:sz w:val="24"/>
        </w:rPr>
        <w:t xml:space="preserve"> ЭЦН</w:t>
      </w:r>
      <w:r>
        <w:rPr>
          <w:rFonts w:cs="Times New Roman"/>
          <w:b/>
          <w:bCs/>
          <w:sz w:val="24"/>
          <w:lang w:val="ru-RU"/>
        </w:rPr>
        <w:t>*</w:t>
      </w:r>
      <w:r w:rsidRPr="00AA7A94">
        <w:rPr>
          <w:rFonts w:cs="Times New Roman"/>
          <w:b/>
          <w:bCs/>
          <w:sz w:val="24"/>
        </w:rPr>
        <w:t>:</w:t>
      </w:r>
    </w:p>
    <w:tbl>
      <w:tblPr>
        <w:tblStyle w:val="Table"/>
        <w:tblW w:w="10374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020" w:firstRow="1" w:lastRow="0" w:firstColumn="0" w:lastColumn="0" w:noHBand="0" w:noVBand="0"/>
      </w:tblPr>
      <w:tblGrid>
        <w:gridCol w:w="1589"/>
        <w:gridCol w:w="1650"/>
        <w:gridCol w:w="1948"/>
        <w:gridCol w:w="1589"/>
        <w:gridCol w:w="1650"/>
        <w:gridCol w:w="1948"/>
      </w:tblGrid>
      <w:tr w:rsidR="00AA7A94" w:rsidRPr="00AA7A94" w:rsidTr="00AA7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28"/>
          <w:tblHeader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22"/>
              </w:rPr>
              <w:t>Номинал, м³/сут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22"/>
              </w:rPr>
              <w:t>Интервал, м³/сут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22"/>
              </w:rPr>
              <w:t>Стоимость, млн руб.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22"/>
              </w:rPr>
              <w:t>Номинал, м³/сут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22"/>
              </w:rPr>
              <w:t>Интервал, м³/сут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22"/>
              </w:rPr>
              <w:t>Стоимость, млн руб.</w:t>
            </w:r>
          </w:p>
        </w:tc>
      </w:tr>
      <w:tr w:rsidR="00AA7A94" w:rsidRPr="00AA7A94" w:rsidTr="00AA7A94">
        <w:trPr>
          <w:cantSplit/>
          <w:trHeight w:val="164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15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до 20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0.55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125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100–160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2.75</w:t>
            </w:r>
          </w:p>
        </w:tc>
      </w:tr>
      <w:tr w:rsidR="00AA7A94" w:rsidRPr="00AA7A94" w:rsidTr="00AA7A94">
        <w:trPr>
          <w:cantSplit/>
          <w:trHeight w:val="164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20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15–30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0.65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160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125–210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3.35</w:t>
            </w:r>
          </w:p>
        </w:tc>
      </w:tr>
      <w:tr w:rsidR="00AA7A94" w:rsidRPr="00AA7A94" w:rsidTr="00AA7A94">
        <w:trPr>
          <w:cantSplit/>
          <w:trHeight w:val="164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30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20–50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0.75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210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160–250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4.10</w:t>
            </w:r>
          </w:p>
        </w:tc>
      </w:tr>
      <w:tr w:rsidR="00AA7A94" w:rsidRPr="00AA7A94" w:rsidTr="00AA7A94">
        <w:trPr>
          <w:cantSplit/>
          <w:trHeight w:val="164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50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30–80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0.90397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250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210–320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4.75</w:t>
            </w:r>
          </w:p>
        </w:tc>
      </w:tr>
      <w:tr w:rsidR="00AA7A94" w:rsidRPr="00AA7A94" w:rsidTr="00AA7A94">
        <w:trPr>
          <w:cantSplit/>
          <w:trHeight w:val="176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80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50–100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1.85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320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250–400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6.00</w:t>
            </w:r>
          </w:p>
        </w:tc>
      </w:tr>
      <w:tr w:rsidR="00AA7A94" w:rsidRPr="00AA7A94" w:rsidTr="00AA7A94">
        <w:trPr>
          <w:cantSplit/>
          <w:trHeight w:val="152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100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80–125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2.30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400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320–500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22"/>
              </w:rPr>
              <w:t>8.05</w:t>
            </w:r>
          </w:p>
        </w:tc>
      </w:tr>
    </w:tbl>
    <w:bookmarkEnd w:id="0"/>
    <w:bookmarkEnd w:id="5"/>
    <w:p w:rsidR="00AA7A94" w:rsidRPr="00AA7A94" w:rsidRDefault="00AA7A94" w:rsidP="00AA7A94">
      <w:pPr>
        <w:spacing w:after="0"/>
        <w:ind w:firstLine="709"/>
        <w:rPr>
          <w:rFonts w:cs="Times New Roman"/>
          <w:sz w:val="24"/>
          <w:lang w:val="ru-RU"/>
        </w:rPr>
      </w:pPr>
      <w:r>
        <w:rPr>
          <w:rFonts w:cs="Times New Roman"/>
          <w:sz w:val="24"/>
          <w:lang w:val="ru-RU"/>
        </w:rPr>
        <w:t>* Значения взяты условными величинами</w:t>
      </w:r>
    </w:p>
    <w:sectPr w:rsidR="00AA7A94" w:rsidRPr="00AA7A94">
      <w:footerReference w:type="default" r:id="rId7"/>
      <w:pgSz w:w="12240" w:h="15840"/>
      <w:pgMar w:top="652" w:right="850" w:bottom="595" w:left="850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74B1" w:rsidRDefault="004174B1">
      <w:pPr>
        <w:spacing w:after="0"/>
      </w:pPr>
      <w:r>
        <w:separator/>
      </w:r>
    </w:p>
  </w:endnote>
  <w:endnote w:type="continuationSeparator" w:id="0">
    <w:p w:rsidR="004174B1" w:rsidRDefault="004174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7A94" w:rsidRDefault="00AA7A94">
    <w:pPr>
      <w:spacing w:after="0"/>
      <w:jc w:val="center"/>
    </w:pP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74B1" w:rsidRDefault="004174B1">
      <w:r>
        <w:separator/>
      </w:r>
    </w:p>
  </w:footnote>
  <w:footnote w:type="continuationSeparator" w:id="0">
    <w:p w:rsidR="004174B1" w:rsidRDefault="004174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F4866D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FF"/>
    <w:rsid w:val="004174B1"/>
    <w:rsid w:val="00444778"/>
    <w:rsid w:val="004822BD"/>
    <w:rsid w:val="005452FF"/>
    <w:rsid w:val="005630D6"/>
    <w:rsid w:val="00AA7A94"/>
    <w:rsid w:val="00C1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56A09"/>
  <w15:docId w15:val="{2B72E10B-E9AF-4B61-8571-F992A548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40"/>
      <w:ind w:firstLine="340"/>
      <w:jc w:val="both"/>
    </w:pPr>
    <w:rPr>
      <w:rFonts w:ascii="Times New Roman" w:eastAsia="Times New Roman" w:hAnsi="Times New Roman"/>
      <w:sz w:val="2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16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27"/>
      <w:szCs w:val="36"/>
    </w:rPr>
  </w:style>
  <w:style w:type="paragraph" w:styleId="a5">
    <w:name w:val="Subtitle"/>
    <w:basedOn w:val="a4"/>
    <w:next w:val="a0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AA7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Аленькин Даниил Анатольевич</dc:creator>
  <cp:keywords/>
  <cp:lastModifiedBy>Аленькин Даниил Анатольевич</cp:lastModifiedBy>
  <cp:revision>4</cp:revision>
  <dcterms:created xsi:type="dcterms:W3CDTF">2026-08-07T17:53:00Z</dcterms:created>
  <dcterms:modified xsi:type="dcterms:W3CDTF">2026-08-07T18:00:00Z</dcterms:modified>
</cp:coreProperties>
</file>