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F3E8" w14:textId="77777777" w:rsidR="005B0352" w:rsidRPr="005B0352" w:rsidRDefault="005B0352" w:rsidP="005B03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B0352">
        <w:rPr>
          <w:rFonts w:ascii="Times New Roman" w:eastAsia="Times New Roman" w:hAnsi="Times New Roman" w:cs="Times New Roman"/>
          <w:b/>
          <w:bCs/>
          <w:color w:val="000000"/>
          <w:kern w:val="0"/>
          <w:sz w:val="36"/>
          <w:szCs w:val="36"/>
          <w14:ligatures w14:val="none"/>
        </w:rPr>
        <w:t>About</w:t>
      </w:r>
    </w:p>
    <w:p w14:paraId="1406FE13" w14:textId="77777777" w:rsidR="005B0352" w:rsidRPr="005B0352" w:rsidRDefault="005B0352" w:rsidP="005B03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0352">
        <w:rPr>
          <w:rFonts w:ascii="Times New Roman" w:eastAsia="Times New Roman" w:hAnsi="Times New Roman" w:cs="Times New Roman"/>
          <w:b/>
          <w:bCs/>
          <w:color w:val="000000"/>
          <w:kern w:val="0"/>
          <w:sz w:val="27"/>
          <w:szCs w:val="27"/>
          <w14:ligatures w14:val="none"/>
        </w:rPr>
        <w:t>Why Arizona is Measuring the Impact of AI</w:t>
      </w:r>
    </w:p>
    <w:p w14:paraId="6B4DDCDE" w14:textId="6D7839FC"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 xml:space="preserve">Arizona is actively measuring the impact of artificial intelligence (AI) on the labor market to fulfill its statutory role as the state’s designated labor market information and workforce evaluation authority. </w:t>
      </w:r>
      <w:r>
        <w:rPr>
          <w:rFonts w:ascii="Times New Roman" w:eastAsia="Times New Roman" w:hAnsi="Times New Roman" w:cs="Times New Roman"/>
          <w:color w:val="000000"/>
          <w:kern w:val="0"/>
          <w14:ligatures w14:val="none"/>
        </w:rPr>
        <w:t>T</w:t>
      </w:r>
      <w:r w:rsidRPr="005B0352">
        <w:rPr>
          <w:rFonts w:ascii="Times New Roman" w:eastAsia="Times New Roman" w:hAnsi="Times New Roman" w:cs="Times New Roman"/>
          <w:color w:val="000000"/>
          <w:kern w:val="0"/>
          <w14:ligatures w14:val="none"/>
        </w:rPr>
        <w:t>he state is responsible for producing rigorous, data-driven insights that inform workforce policy, guide public investment, and ensure accountability across workforce programs.</w:t>
      </w:r>
    </w:p>
    <w:p w14:paraId="251F12CE" w14:textId="42006FC1"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A central motivation for this work is stewardship of taxpayer-funded workforce investments. Millions of dollars are allocated annually to workforce development initiatives, including Registered Apprenticeship Program, WIOA Title I programs, and other federally supported training efforts. Evaluating how AI is reshaping occupations</w:t>
      </w:r>
      <w:r>
        <w:rPr>
          <w:rFonts w:ascii="Times New Roman" w:eastAsia="Times New Roman" w:hAnsi="Times New Roman" w:cs="Times New Roman"/>
          <w:color w:val="000000"/>
          <w:kern w:val="0"/>
          <w14:ligatures w14:val="none"/>
        </w:rPr>
        <w:t xml:space="preserve"> </w:t>
      </w:r>
      <w:r w:rsidRPr="005B0352">
        <w:rPr>
          <w:rFonts w:ascii="Times New Roman" w:eastAsia="Times New Roman" w:hAnsi="Times New Roman" w:cs="Times New Roman"/>
          <w:color w:val="000000"/>
          <w:kern w:val="0"/>
          <w14:ligatures w14:val="none"/>
        </w:rPr>
        <w:t>is critical to ensuring these investments are aligned with current and emerging labor market demand. Without this analysis, there is a risk that training programs may prepare individuals for roles undergoing rapid transformation or decline.</w:t>
      </w:r>
    </w:p>
    <w:p w14:paraId="342140BA" w14:textId="77777777"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Arizona is also advancing several major state-led workforce initiatives that depend on timely, high-quality labor market intelligence. Programs such as Talent Ready AZ, the Rural Health Talent Pipeline, and emerging efforts tied to Workforce Pell expansion aim to strengthen education-to-employment pathways. Understanding AI exposure across occupations allows the state to better align these initiatives with future skill needs, identify resilient career pathways, and prioritize investments in high-opportunity sectors.</w:t>
      </w:r>
    </w:p>
    <w:p w14:paraId="7ABCFBE1" w14:textId="2D7DCB0B"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More broadly, this work supports statewide workforce alignment by connecting education systems, training providers, and industry needs through a shared evidence base. By integrating labor market data, occupational task analysis, and AI exposure metrics, Arizona can move toward a more coordinated workforce system</w:t>
      </w:r>
      <w:r>
        <w:rPr>
          <w:rFonts w:ascii="Times New Roman" w:eastAsia="Times New Roman" w:hAnsi="Times New Roman" w:cs="Times New Roman"/>
          <w:color w:val="000000"/>
          <w:kern w:val="0"/>
          <w14:ligatures w14:val="none"/>
        </w:rPr>
        <w:t xml:space="preserve">. </w:t>
      </w:r>
    </w:p>
    <w:p w14:paraId="11C18BC9" w14:textId="705385E2" w:rsidR="005B0352" w:rsidRPr="005B0352" w:rsidRDefault="005B0352" w:rsidP="005B03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B0352">
        <w:rPr>
          <w:rFonts w:ascii="Times New Roman" w:eastAsia="Times New Roman" w:hAnsi="Times New Roman" w:cs="Times New Roman"/>
          <w:b/>
          <w:bCs/>
          <w:color w:val="000000"/>
          <w:kern w:val="0"/>
          <w:sz w:val="27"/>
          <w:szCs w:val="27"/>
          <w14:ligatures w14:val="none"/>
        </w:rPr>
        <w:t>Support</w:t>
      </w:r>
      <w:r>
        <w:rPr>
          <w:rFonts w:ascii="Times New Roman" w:eastAsia="Times New Roman" w:hAnsi="Times New Roman" w:cs="Times New Roman"/>
          <w:b/>
          <w:bCs/>
          <w:color w:val="000000"/>
          <w:kern w:val="0"/>
          <w:sz w:val="27"/>
          <w:szCs w:val="27"/>
          <w14:ligatures w14:val="none"/>
        </w:rPr>
        <w:t>ing</w:t>
      </w:r>
      <w:r w:rsidRPr="005B0352">
        <w:rPr>
          <w:rFonts w:ascii="Times New Roman" w:eastAsia="Times New Roman" w:hAnsi="Times New Roman" w:cs="Times New Roman"/>
          <w:b/>
          <w:bCs/>
          <w:color w:val="000000"/>
          <w:kern w:val="0"/>
          <w:sz w:val="27"/>
          <w:szCs w:val="27"/>
          <w14:ligatures w14:val="none"/>
        </w:rPr>
        <w:t xml:space="preserve"> Education and Industry Partners</w:t>
      </w:r>
    </w:p>
    <w:p w14:paraId="491C5936" w14:textId="313F0D2C"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The insights generated through this analysis are not intended to be static reports</w:t>
      </w:r>
      <w:r>
        <w:rPr>
          <w:rFonts w:ascii="Times New Roman" w:eastAsia="Times New Roman" w:hAnsi="Times New Roman" w:cs="Times New Roman"/>
          <w:color w:val="000000"/>
          <w:kern w:val="0"/>
          <w14:ligatures w14:val="none"/>
        </w:rPr>
        <w:t xml:space="preserve">, </w:t>
      </w:r>
      <w:r w:rsidRPr="005B0352">
        <w:rPr>
          <w:rFonts w:ascii="Times New Roman" w:eastAsia="Times New Roman" w:hAnsi="Times New Roman" w:cs="Times New Roman"/>
          <w:color w:val="000000"/>
          <w:kern w:val="0"/>
          <w14:ligatures w14:val="none"/>
        </w:rPr>
        <w:t>they are designed to directly inform decision-making among education providers, workforce boards, and industry leaders across Arizona.</w:t>
      </w:r>
    </w:p>
    <w:p w14:paraId="5F97597D" w14:textId="77777777"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For education partners, including community colleges, universities, and training providers, OEO uses these data to provide targeted consultation on program design, curriculum alignment, and credential strategy. By identifying occupations with high AI exposure and mapping them to related lower-exposure roles, we help institutions understand where programs may need to evolve. This includes guidance on incorporating emerging skills, adjusting program capacity, and strengthening pathways that lead to durable employment outcomes. These efforts are often supported through the state’s Integrated Data System (IDS), which enables longitudinal tracking of participant outcomes, including employment and wage progression.</w:t>
      </w:r>
    </w:p>
    <w:p w14:paraId="4C50E754" w14:textId="77777777"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lastRenderedPageBreak/>
        <w:t>For industry partners, these data support strategic workforce planning in a rapidly changing environment. Employers can use AI exposure insights alongside labor market trends to better understand how job roles are evolving, where skill gaps may emerge, and how to invest in upskilling or reskilling their workforce. This is particularly important for sectors experiencing both technological disruption and labor shortages, where proactive planning can mitigate risk and improve competitiveness.</w:t>
      </w:r>
    </w:p>
    <w:p w14:paraId="56C74FF7" w14:textId="560310AB" w:rsidR="005B0352" w:rsidRPr="005B0352" w:rsidRDefault="005B0352" w:rsidP="005B0352">
      <w:pPr>
        <w:spacing w:before="100" w:beforeAutospacing="1" w:after="100" w:afterAutospacing="1" w:line="240" w:lineRule="auto"/>
        <w:rPr>
          <w:rFonts w:ascii="Times New Roman" w:eastAsia="Times New Roman" w:hAnsi="Times New Roman" w:cs="Times New Roman"/>
          <w:color w:val="000000"/>
          <w:kern w:val="0"/>
          <w14:ligatures w14:val="none"/>
        </w:rPr>
      </w:pPr>
      <w:r w:rsidRPr="005B0352">
        <w:rPr>
          <w:rFonts w:ascii="Times New Roman" w:eastAsia="Times New Roman" w:hAnsi="Times New Roman" w:cs="Times New Roman"/>
          <w:color w:val="000000"/>
          <w:kern w:val="0"/>
          <w14:ligatures w14:val="none"/>
        </w:rPr>
        <w:t xml:space="preserve">Across both groups, </w:t>
      </w:r>
      <w:r>
        <w:rPr>
          <w:rFonts w:ascii="Times New Roman" w:eastAsia="Times New Roman" w:hAnsi="Times New Roman" w:cs="Times New Roman"/>
          <w:color w:val="000000"/>
          <w:kern w:val="0"/>
          <w14:ligatures w14:val="none"/>
        </w:rPr>
        <w:t>our team</w:t>
      </w:r>
      <w:r w:rsidRPr="005B0352">
        <w:rPr>
          <w:rFonts w:ascii="Times New Roman" w:eastAsia="Times New Roman" w:hAnsi="Times New Roman" w:cs="Times New Roman"/>
          <w:color w:val="000000"/>
          <w:kern w:val="0"/>
          <w14:ligatures w14:val="none"/>
        </w:rPr>
        <w:t xml:space="preserve"> serves as a convener and translator of complex data into actionable insights. By combining AI exposure measures, employment trends, job posting dynamics, and training program linkages, we provide a comprehensive view of workforce transformation</w:t>
      </w:r>
      <w:r>
        <w:rPr>
          <w:rFonts w:ascii="Times New Roman" w:eastAsia="Times New Roman" w:hAnsi="Times New Roman" w:cs="Times New Roman"/>
          <w:color w:val="000000"/>
          <w:kern w:val="0"/>
          <w14:ligatures w14:val="none"/>
        </w:rPr>
        <w:t xml:space="preserve">, </w:t>
      </w:r>
      <w:r w:rsidRPr="005B0352">
        <w:rPr>
          <w:rFonts w:ascii="Times New Roman" w:eastAsia="Times New Roman" w:hAnsi="Times New Roman" w:cs="Times New Roman"/>
          <w:color w:val="000000"/>
          <w:kern w:val="0"/>
          <w14:ligatures w14:val="none"/>
        </w:rPr>
        <w:t>helping Arizona’s education and industry partners make informed, forward-looking decisions.</w:t>
      </w:r>
    </w:p>
    <w:p w14:paraId="0F42A973" w14:textId="50043656" w:rsidR="00AE3DC0" w:rsidRPr="005B0352" w:rsidRDefault="00AE3DC0" w:rsidP="005B0352"/>
    <w:sectPr w:rsidR="00AE3DC0" w:rsidRPr="005B0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A7D"/>
    <w:multiLevelType w:val="hybridMultilevel"/>
    <w:tmpl w:val="0A7EF8FC"/>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D2B"/>
    <w:multiLevelType w:val="hybridMultilevel"/>
    <w:tmpl w:val="7716F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B0673"/>
    <w:multiLevelType w:val="hybridMultilevel"/>
    <w:tmpl w:val="04DE12CA"/>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E3208"/>
    <w:multiLevelType w:val="hybridMultilevel"/>
    <w:tmpl w:val="5546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35972"/>
    <w:multiLevelType w:val="hybridMultilevel"/>
    <w:tmpl w:val="8F4E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81D03"/>
    <w:multiLevelType w:val="hybridMultilevel"/>
    <w:tmpl w:val="7EA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40264"/>
    <w:multiLevelType w:val="multilevel"/>
    <w:tmpl w:val="C8E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6888"/>
    <w:multiLevelType w:val="hybridMultilevel"/>
    <w:tmpl w:val="AD0E7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BA5D2A"/>
    <w:multiLevelType w:val="multilevel"/>
    <w:tmpl w:val="B146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005AA"/>
    <w:multiLevelType w:val="multilevel"/>
    <w:tmpl w:val="F07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C5E56"/>
    <w:multiLevelType w:val="multilevel"/>
    <w:tmpl w:val="890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03AEE"/>
    <w:multiLevelType w:val="multilevel"/>
    <w:tmpl w:val="E54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60957"/>
    <w:multiLevelType w:val="hybridMultilevel"/>
    <w:tmpl w:val="0F00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5C366E"/>
    <w:multiLevelType w:val="hybridMultilevel"/>
    <w:tmpl w:val="98D48B24"/>
    <w:lvl w:ilvl="0" w:tplc="4934E50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E38C2"/>
    <w:multiLevelType w:val="hybridMultilevel"/>
    <w:tmpl w:val="C800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436CC"/>
    <w:multiLevelType w:val="hybridMultilevel"/>
    <w:tmpl w:val="BCA45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125">
    <w:abstractNumId w:val="13"/>
  </w:num>
  <w:num w:numId="2" w16cid:durableId="213584389">
    <w:abstractNumId w:val="12"/>
  </w:num>
  <w:num w:numId="3" w16cid:durableId="1593706627">
    <w:abstractNumId w:val="1"/>
  </w:num>
  <w:num w:numId="4" w16cid:durableId="1472988549">
    <w:abstractNumId w:val="14"/>
  </w:num>
  <w:num w:numId="5" w16cid:durableId="156000884">
    <w:abstractNumId w:val="4"/>
  </w:num>
  <w:num w:numId="6" w16cid:durableId="1013798">
    <w:abstractNumId w:val="3"/>
  </w:num>
  <w:num w:numId="7" w16cid:durableId="1085490019">
    <w:abstractNumId w:val="15"/>
  </w:num>
  <w:num w:numId="8" w16cid:durableId="1595479330">
    <w:abstractNumId w:val="2"/>
  </w:num>
  <w:num w:numId="9" w16cid:durableId="382827558">
    <w:abstractNumId w:val="0"/>
  </w:num>
  <w:num w:numId="10" w16cid:durableId="787315114">
    <w:abstractNumId w:val="5"/>
  </w:num>
  <w:num w:numId="11" w16cid:durableId="132647614">
    <w:abstractNumId w:val="7"/>
  </w:num>
  <w:num w:numId="12" w16cid:durableId="1894543042">
    <w:abstractNumId w:val="9"/>
  </w:num>
  <w:num w:numId="13" w16cid:durableId="672998223">
    <w:abstractNumId w:val="8"/>
  </w:num>
  <w:num w:numId="14" w16cid:durableId="1271208543">
    <w:abstractNumId w:val="11"/>
  </w:num>
  <w:num w:numId="15" w16cid:durableId="221335988">
    <w:abstractNumId w:val="6"/>
  </w:num>
  <w:num w:numId="16" w16cid:durableId="117533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C0"/>
    <w:rsid w:val="00035BE7"/>
    <w:rsid w:val="00080295"/>
    <w:rsid w:val="003A4271"/>
    <w:rsid w:val="005B0352"/>
    <w:rsid w:val="0094306F"/>
    <w:rsid w:val="00AE3DC0"/>
    <w:rsid w:val="00AF7F40"/>
    <w:rsid w:val="00FE5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12D0"/>
  <w15:chartTrackingRefBased/>
  <w15:docId w15:val="{D933DCF8-71E0-2449-B300-6D89F8E9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C0"/>
    <w:rPr>
      <w:rFonts w:eastAsiaTheme="majorEastAsia" w:cstheme="majorBidi"/>
      <w:color w:val="272727" w:themeColor="text1" w:themeTint="D8"/>
    </w:rPr>
  </w:style>
  <w:style w:type="paragraph" w:styleId="Title">
    <w:name w:val="Title"/>
    <w:basedOn w:val="Normal"/>
    <w:next w:val="Normal"/>
    <w:link w:val="TitleChar"/>
    <w:uiPriority w:val="10"/>
    <w:qFormat/>
    <w:rsid w:val="00AE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C0"/>
    <w:pPr>
      <w:spacing w:before="160"/>
      <w:jc w:val="center"/>
    </w:pPr>
    <w:rPr>
      <w:i/>
      <w:iCs/>
      <w:color w:val="404040" w:themeColor="text1" w:themeTint="BF"/>
    </w:rPr>
  </w:style>
  <w:style w:type="character" w:customStyle="1" w:styleId="QuoteChar">
    <w:name w:val="Quote Char"/>
    <w:basedOn w:val="DefaultParagraphFont"/>
    <w:link w:val="Quote"/>
    <w:uiPriority w:val="29"/>
    <w:rsid w:val="00AE3DC0"/>
    <w:rPr>
      <w:i/>
      <w:iCs/>
      <w:color w:val="404040" w:themeColor="text1" w:themeTint="BF"/>
    </w:rPr>
  </w:style>
  <w:style w:type="paragraph" w:styleId="ListParagraph">
    <w:name w:val="List Paragraph"/>
    <w:basedOn w:val="Normal"/>
    <w:uiPriority w:val="34"/>
    <w:qFormat/>
    <w:rsid w:val="00AE3DC0"/>
    <w:pPr>
      <w:ind w:left="720"/>
      <w:contextualSpacing/>
    </w:pPr>
  </w:style>
  <w:style w:type="character" w:styleId="IntenseEmphasis">
    <w:name w:val="Intense Emphasis"/>
    <w:basedOn w:val="DefaultParagraphFont"/>
    <w:uiPriority w:val="21"/>
    <w:qFormat/>
    <w:rsid w:val="00AE3DC0"/>
    <w:rPr>
      <w:i/>
      <w:iCs/>
      <w:color w:val="0F4761" w:themeColor="accent1" w:themeShade="BF"/>
    </w:rPr>
  </w:style>
  <w:style w:type="paragraph" w:styleId="IntenseQuote">
    <w:name w:val="Intense Quote"/>
    <w:basedOn w:val="Normal"/>
    <w:next w:val="Normal"/>
    <w:link w:val="IntenseQuoteChar"/>
    <w:uiPriority w:val="30"/>
    <w:qFormat/>
    <w:rsid w:val="00AE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C0"/>
    <w:rPr>
      <w:i/>
      <w:iCs/>
      <w:color w:val="0F4761" w:themeColor="accent1" w:themeShade="BF"/>
    </w:rPr>
  </w:style>
  <w:style w:type="character" w:styleId="IntenseReference">
    <w:name w:val="Intense Reference"/>
    <w:basedOn w:val="DefaultParagraphFont"/>
    <w:uiPriority w:val="32"/>
    <w:qFormat/>
    <w:rsid w:val="00AE3DC0"/>
    <w:rPr>
      <w:b/>
      <w:bCs/>
      <w:smallCaps/>
      <w:color w:val="0F4761" w:themeColor="accent1" w:themeShade="BF"/>
      <w:spacing w:val="5"/>
    </w:rPr>
  </w:style>
  <w:style w:type="character" w:styleId="Hyperlink">
    <w:name w:val="Hyperlink"/>
    <w:basedOn w:val="DefaultParagraphFont"/>
    <w:uiPriority w:val="99"/>
    <w:semiHidden/>
    <w:unhideWhenUsed/>
    <w:rsid w:val="00AE3DC0"/>
    <w:rPr>
      <w:color w:val="467886"/>
      <w:u w:val="single"/>
    </w:rPr>
  </w:style>
  <w:style w:type="character" w:styleId="Strong">
    <w:name w:val="Strong"/>
    <w:basedOn w:val="DefaultParagraphFont"/>
    <w:uiPriority w:val="22"/>
    <w:qFormat/>
    <w:rsid w:val="00AE3DC0"/>
    <w:rPr>
      <w:b/>
      <w:bCs/>
    </w:rPr>
  </w:style>
  <w:style w:type="paragraph" w:styleId="NormalWeb">
    <w:name w:val="Normal (Web)"/>
    <w:basedOn w:val="Normal"/>
    <w:uiPriority w:val="99"/>
    <w:unhideWhenUsed/>
    <w:rsid w:val="00AE3D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3DC0"/>
  </w:style>
  <w:style w:type="character" w:customStyle="1" w:styleId="whitespace-normal">
    <w:name w:val="whitespace-normal"/>
    <w:basedOn w:val="DefaultParagraphFont"/>
    <w:rsid w:val="00AE3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 A Ramadan</dc:creator>
  <cp:keywords/>
  <dc:description/>
  <cp:lastModifiedBy>Ferris A Ramadan</cp:lastModifiedBy>
  <cp:revision>4</cp:revision>
  <dcterms:created xsi:type="dcterms:W3CDTF">2026-03-31T22:48:00Z</dcterms:created>
  <dcterms:modified xsi:type="dcterms:W3CDTF">2026-04-01T18:08:00Z</dcterms:modified>
</cp:coreProperties>
</file>