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B6CA6" w14:textId="125A7ED8" w:rsidR="00AB43E0" w:rsidRDefault="00432AF2">
      <w:pPr>
        <w:pStyle w:val="Heading1"/>
      </w:pPr>
      <w:r>
        <w:t>Methodology</w:t>
      </w:r>
      <w:r>
        <w:t xml:space="preserve">: </w:t>
      </w:r>
      <w:r w:rsidR="00000000">
        <w:t xml:space="preserve">AI Displacement Risk Score </w:t>
      </w:r>
      <w:r>
        <w:t xml:space="preserve">&amp; Transition Pathways </w:t>
      </w:r>
    </w:p>
    <w:p w14:paraId="494420ED" w14:textId="77777777" w:rsidR="00AB43E0" w:rsidRDefault="00000000">
      <w:pPr>
        <w:pStyle w:val="Heading2"/>
      </w:pPr>
      <w:r>
        <w:t>Overview</w:t>
      </w:r>
    </w:p>
    <w:p w14:paraId="780E8363" w14:textId="77777777" w:rsidR="00432AF2" w:rsidRDefault="00000000" w:rsidP="00432AF2">
      <w:r>
        <w:t xml:space="preserve">The AI Displacement Risk Score is an occupation-level measure designed to estimate the relative vulnerability of occupations to labor market disruption associated with artificial intelligence (AI). </w:t>
      </w:r>
      <w:r w:rsidR="00432AF2">
        <w:t>The AI Displacement Index is based on three principles</w:t>
      </w:r>
      <w:r w:rsidR="00432AF2">
        <w:t>:</w:t>
      </w:r>
    </w:p>
    <w:p w14:paraId="4A95906B" w14:textId="77777777" w:rsidR="00432AF2" w:rsidRDefault="00432AF2" w:rsidP="00432AF2">
      <w:pPr>
        <w:pStyle w:val="ListParagraph"/>
        <w:numPr>
          <w:ilvl w:val="0"/>
          <w:numId w:val="11"/>
        </w:numPr>
      </w:pPr>
      <w:r w:rsidRPr="00432AF2">
        <w:rPr>
          <w:b/>
          <w:bCs/>
        </w:rPr>
        <w:t>Theoretical Exposure</w:t>
      </w:r>
      <w:r>
        <w:t xml:space="preserve"> measures the extent to which occupational tasks can be performed or augmented by AI technologies.</w:t>
      </w:r>
    </w:p>
    <w:p w14:paraId="012242DB" w14:textId="77777777" w:rsidR="00432AF2" w:rsidRDefault="00432AF2" w:rsidP="00432AF2">
      <w:pPr>
        <w:pStyle w:val="ListParagraph"/>
        <w:numPr>
          <w:ilvl w:val="0"/>
          <w:numId w:val="11"/>
        </w:numPr>
      </w:pPr>
      <w:r w:rsidRPr="00432AF2">
        <w:rPr>
          <w:b/>
          <w:bCs/>
        </w:rPr>
        <w:t>Displacement Signals</w:t>
      </w:r>
      <w:r>
        <w:t xml:space="preserve"> measure whether labor market outcomes are changing in ways consistent with AI-related disruption.</w:t>
      </w:r>
    </w:p>
    <w:p w14:paraId="46DE486A" w14:textId="77777777" w:rsidR="00432AF2" w:rsidRDefault="00432AF2" w:rsidP="00432AF2">
      <w:pPr>
        <w:pStyle w:val="ListParagraph"/>
        <w:numPr>
          <w:ilvl w:val="0"/>
          <w:numId w:val="11"/>
        </w:numPr>
      </w:pPr>
      <w:r w:rsidRPr="00432AF2">
        <w:rPr>
          <w:b/>
          <w:bCs/>
        </w:rPr>
        <w:t>Adaptive Capacity</w:t>
      </w:r>
      <w:r>
        <w:t xml:space="preserve"> measures the ability of workers within an occupation to transition into alternative employment opportunities if displacement occurs.</w:t>
      </w:r>
    </w:p>
    <w:p w14:paraId="55B01144" w14:textId="62746192" w:rsidR="00AB43E0" w:rsidRDefault="00000000" w:rsidP="00432AF2">
      <w:r>
        <w:t>The framework is designed to move beyond exposure-only measures. While exposure estimates identify occupations whose tasks may be affected by AI, exposure alone does not indicate whether displacement is occurring, how severe the effects may be, or whether workers possess realistic pathways into alternative employment. By integrating theoretical, empirical, and resilience-based measures, the AI Displacement Risk Score provides a more comprehensive assessment of occupational vulnerability.</w:t>
      </w:r>
    </w:p>
    <w:p w14:paraId="5E93507E" w14:textId="77777777" w:rsidR="00AB43E0" w:rsidRDefault="00000000">
      <w:pPr>
        <w:pStyle w:val="Heading2"/>
      </w:pPr>
      <w:r>
        <w:t>Data Sources</w:t>
      </w:r>
    </w:p>
    <w:p w14:paraId="3739FAD7" w14:textId="77777777" w:rsidR="00432AF2" w:rsidRDefault="00000000">
      <w:r>
        <w:t xml:space="preserve">The analysis is conducted at the six-digit Standard Occupational Classification (SOC) level. AI exposure scores were derived from the Yale Budget Lab composite AI exposure framework and supplemented with occupational classifications developed by the Pew Research Center. </w:t>
      </w:r>
    </w:p>
    <w:p w14:paraId="5483D61A" w14:textId="226B0362" w:rsidR="00AB43E0" w:rsidRDefault="00000000">
      <w:r>
        <w:t>Longitudinal employment and job posting data were obtained from Lightcast. Employment estimates are constructed using Quarterly Census of Employment and Wages (QCEW) data and associated modeling procedures, allowing for consistent occupation-level tracking over time. Job posting data were obtained from Lightcast Job Posting Analytics.</w:t>
      </w:r>
      <w:r>
        <w:br/>
      </w:r>
      <w:r>
        <w:br/>
        <w:t xml:space="preserve">Occupational relationships were identified using O*NET related occupation files, which measure occupational similarity based on skills, work activities, and knowledge requirements. Occupation-level covariates including median annual earnings and employment growth rates were extracted from </w:t>
      </w:r>
      <w:proofErr w:type="spellStart"/>
      <w:r>
        <w:t>Lightcast</w:t>
      </w:r>
      <w:proofErr w:type="spellEnd"/>
      <w:r>
        <w:t>.</w:t>
      </w:r>
    </w:p>
    <w:p w14:paraId="60B9859A" w14:textId="77777777" w:rsidR="00AB43E0" w:rsidRDefault="00000000">
      <w:pPr>
        <w:pStyle w:val="Heading2"/>
      </w:pPr>
      <w:r>
        <w:t>Theoretical AI Exposure</w:t>
      </w:r>
    </w:p>
    <w:p w14:paraId="4EA2898D" w14:textId="5A1B1F28" w:rsidR="00432AF2" w:rsidRDefault="00000000">
      <w:r>
        <w:t>Theoretical exposure serves as the baseline component of the framework. Rather than relying on a single AI exposure measure, the methodology follows the Yale Budget Lab approach by combining multiple occupation-level exposure measures into a unified index using Principal Component Analysis (PCA).</w:t>
      </w:r>
      <w:r>
        <w:br/>
      </w:r>
      <w:r>
        <w:br/>
      </w:r>
      <w:r w:rsidR="00432AF2">
        <w:lastRenderedPageBreak/>
        <w:t>Briefly, i</w:t>
      </w:r>
      <w:r>
        <w:t>ncluded measures capture task acceleration, generative AI applicability, occupational exposure to AI applications, and AI-driven productivity impacts. Each measure is standardized using z-score normalization. PCA is then applied to identify the common latent exposure signal across measures. The first principal component is retained and interpreted as the theoretical AI exposure score</w:t>
      </w:r>
      <w:r w:rsidR="00432AF2">
        <w:t xml:space="preserve"> (Table 1)</w:t>
      </w:r>
      <w:r>
        <w:t>.</w:t>
      </w:r>
    </w:p>
    <w:p w14:paraId="4C83B9D8" w14:textId="77777777" w:rsidR="00432AF2" w:rsidRDefault="00432AF2" w:rsidP="00432AF2">
      <w:pPr>
        <w:jc w:val="center"/>
      </w:pPr>
      <w:r>
        <w:t>Table 1. AI Measures and Associated Principal Component Weights</w:t>
      </w:r>
    </w:p>
    <w:tbl>
      <w:tblPr>
        <w:tblW w:w="9978" w:type="dxa"/>
        <w:tblLook w:val="04A0" w:firstRow="1" w:lastRow="0" w:firstColumn="1" w:lastColumn="0" w:noHBand="0" w:noVBand="1"/>
      </w:tblPr>
      <w:tblGrid>
        <w:gridCol w:w="2115"/>
        <w:gridCol w:w="2086"/>
        <w:gridCol w:w="2561"/>
        <w:gridCol w:w="3216"/>
      </w:tblGrid>
      <w:tr w:rsidR="00432AF2" w:rsidRPr="00AE3DC0" w14:paraId="1618D296" w14:textId="77777777" w:rsidTr="00124E06">
        <w:trPr>
          <w:trHeight w:val="531"/>
        </w:trPr>
        <w:tc>
          <w:tcPr>
            <w:tcW w:w="2115" w:type="dxa"/>
            <w:tcBorders>
              <w:top w:val="nil"/>
              <w:left w:val="nil"/>
              <w:bottom w:val="single" w:sz="4" w:space="0" w:color="auto"/>
              <w:right w:val="nil"/>
            </w:tcBorders>
            <w:noWrap/>
            <w:vAlign w:val="bottom"/>
            <w:hideMark/>
          </w:tcPr>
          <w:p w14:paraId="747D6237" w14:textId="77777777" w:rsidR="00432AF2" w:rsidRPr="00AE3DC0" w:rsidRDefault="00432AF2" w:rsidP="00124E06">
            <w:pPr>
              <w:spacing w:after="0" w:line="240" w:lineRule="auto"/>
              <w:jc w:val="center"/>
              <w:rPr>
                <w:rFonts w:ascii="Aptos Narrow" w:eastAsia="Times New Roman" w:hAnsi="Aptos Narrow" w:cs="Times New Roman"/>
                <w:b/>
                <w:bCs/>
                <w:color w:val="000000"/>
              </w:rPr>
            </w:pPr>
            <w:r w:rsidRPr="00AE3DC0">
              <w:rPr>
                <w:rFonts w:ascii="Aptos Narrow" w:eastAsia="Times New Roman" w:hAnsi="Aptos Narrow" w:cs="Times New Roman"/>
                <w:b/>
                <w:bCs/>
                <w:color w:val="000000"/>
              </w:rPr>
              <w:t>Metric</w:t>
            </w:r>
          </w:p>
        </w:tc>
        <w:tc>
          <w:tcPr>
            <w:tcW w:w="2086" w:type="dxa"/>
            <w:tcBorders>
              <w:top w:val="nil"/>
              <w:left w:val="nil"/>
              <w:bottom w:val="single" w:sz="4" w:space="0" w:color="auto"/>
              <w:right w:val="nil"/>
            </w:tcBorders>
            <w:noWrap/>
            <w:vAlign w:val="bottom"/>
            <w:hideMark/>
          </w:tcPr>
          <w:p w14:paraId="092DD484" w14:textId="77777777" w:rsidR="00432AF2" w:rsidRPr="00AE3DC0" w:rsidRDefault="00432AF2" w:rsidP="00124E06">
            <w:pPr>
              <w:spacing w:after="0" w:line="240" w:lineRule="auto"/>
              <w:jc w:val="center"/>
              <w:rPr>
                <w:rFonts w:ascii="Aptos Narrow" w:eastAsia="Times New Roman" w:hAnsi="Aptos Narrow" w:cs="Times New Roman"/>
                <w:b/>
                <w:bCs/>
                <w:color w:val="000000"/>
              </w:rPr>
            </w:pPr>
            <w:r w:rsidRPr="00AE3DC0">
              <w:rPr>
                <w:rFonts w:ascii="Aptos Narrow" w:eastAsia="Times New Roman" w:hAnsi="Aptos Narrow" w:cs="Times New Roman"/>
                <w:b/>
                <w:bCs/>
                <w:color w:val="000000"/>
              </w:rPr>
              <w:t>Source</w:t>
            </w:r>
          </w:p>
        </w:tc>
        <w:tc>
          <w:tcPr>
            <w:tcW w:w="2561" w:type="dxa"/>
            <w:tcBorders>
              <w:top w:val="nil"/>
              <w:left w:val="nil"/>
              <w:bottom w:val="single" w:sz="4" w:space="0" w:color="auto"/>
              <w:right w:val="nil"/>
            </w:tcBorders>
            <w:noWrap/>
            <w:vAlign w:val="bottom"/>
            <w:hideMark/>
          </w:tcPr>
          <w:p w14:paraId="3E3E7B15" w14:textId="77777777" w:rsidR="00432AF2" w:rsidRPr="00AE3DC0" w:rsidRDefault="00432AF2" w:rsidP="00124E06">
            <w:pPr>
              <w:spacing w:after="0" w:line="240" w:lineRule="auto"/>
              <w:jc w:val="center"/>
              <w:rPr>
                <w:rFonts w:ascii="Aptos Narrow" w:eastAsia="Times New Roman" w:hAnsi="Aptos Narrow" w:cs="Times New Roman"/>
                <w:b/>
                <w:bCs/>
                <w:color w:val="000000"/>
              </w:rPr>
            </w:pPr>
            <w:r w:rsidRPr="00AE3DC0">
              <w:rPr>
                <w:rFonts w:ascii="Aptos Narrow" w:eastAsia="Times New Roman" w:hAnsi="Aptos Narrow" w:cs="Times New Roman"/>
                <w:b/>
                <w:bCs/>
                <w:color w:val="000000"/>
              </w:rPr>
              <w:t>Measuring</w:t>
            </w:r>
          </w:p>
        </w:tc>
        <w:tc>
          <w:tcPr>
            <w:tcW w:w="3216" w:type="dxa"/>
            <w:tcBorders>
              <w:top w:val="nil"/>
              <w:left w:val="nil"/>
              <w:bottom w:val="single" w:sz="4" w:space="0" w:color="auto"/>
              <w:right w:val="nil"/>
            </w:tcBorders>
            <w:noWrap/>
            <w:vAlign w:val="bottom"/>
            <w:hideMark/>
          </w:tcPr>
          <w:p w14:paraId="7E04B821" w14:textId="77777777" w:rsidR="00432AF2" w:rsidRPr="00AE3DC0" w:rsidRDefault="00432AF2" w:rsidP="00124E06">
            <w:pPr>
              <w:spacing w:after="0" w:line="240" w:lineRule="auto"/>
              <w:jc w:val="center"/>
              <w:rPr>
                <w:rFonts w:ascii="Aptos Narrow" w:eastAsia="Times New Roman" w:hAnsi="Aptos Narrow" w:cs="Times New Roman"/>
                <w:b/>
                <w:bCs/>
                <w:color w:val="000000"/>
              </w:rPr>
            </w:pPr>
            <w:r>
              <w:rPr>
                <w:rFonts w:ascii="Aptos Narrow" w:hAnsi="Aptos Narrow"/>
                <w:b/>
                <w:bCs/>
                <w:color w:val="000000"/>
              </w:rPr>
              <w:t>PCA Weight</w:t>
            </w:r>
          </w:p>
        </w:tc>
      </w:tr>
      <w:tr w:rsidR="00432AF2" w:rsidRPr="00AE3DC0" w14:paraId="18773D43" w14:textId="77777777" w:rsidTr="00124E06">
        <w:trPr>
          <w:trHeight w:val="1133"/>
        </w:trPr>
        <w:tc>
          <w:tcPr>
            <w:tcW w:w="2115" w:type="dxa"/>
            <w:tcBorders>
              <w:top w:val="nil"/>
              <w:left w:val="nil"/>
              <w:bottom w:val="nil"/>
              <w:right w:val="nil"/>
            </w:tcBorders>
            <w:noWrap/>
            <w:vAlign w:val="center"/>
            <w:hideMark/>
          </w:tcPr>
          <w:p w14:paraId="51537D10" w14:textId="77777777" w:rsidR="00432AF2" w:rsidRPr="00AE3DC0" w:rsidRDefault="00432AF2" w:rsidP="00124E06">
            <w:pPr>
              <w:spacing w:after="0" w:line="240" w:lineRule="auto"/>
              <w:jc w:val="center"/>
              <w:rPr>
                <w:rFonts w:ascii="Aptos Narrow" w:eastAsia="Times New Roman" w:hAnsi="Aptos Narrow" w:cs="Times New Roman"/>
                <w:color w:val="000000"/>
              </w:rPr>
            </w:pPr>
            <w:proofErr w:type="spellStart"/>
            <w:r w:rsidRPr="00AE3DC0">
              <w:rPr>
                <w:rFonts w:ascii="Aptos Narrow" w:eastAsia="Times New Roman" w:hAnsi="Aptos Narrow" w:cs="Times New Roman"/>
                <w:color w:val="000000"/>
              </w:rPr>
              <w:t>dv_rating_beta</w:t>
            </w:r>
            <w:proofErr w:type="spellEnd"/>
          </w:p>
        </w:tc>
        <w:tc>
          <w:tcPr>
            <w:tcW w:w="2086" w:type="dxa"/>
            <w:tcBorders>
              <w:top w:val="nil"/>
              <w:left w:val="nil"/>
              <w:bottom w:val="nil"/>
              <w:right w:val="nil"/>
            </w:tcBorders>
            <w:noWrap/>
            <w:vAlign w:val="center"/>
            <w:hideMark/>
          </w:tcPr>
          <w:p w14:paraId="0AF1ADFA" w14:textId="77777777" w:rsidR="00432AF2" w:rsidRPr="00AE3DC0" w:rsidRDefault="00432AF2" w:rsidP="00124E06">
            <w:pPr>
              <w:spacing w:after="0" w:line="240" w:lineRule="auto"/>
              <w:jc w:val="center"/>
              <w:rPr>
                <w:rFonts w:ascii="Aptos Narrow" w:eastAsia="Times New Roman" w:hAnsi="Aptos Narrow" w:cs="Times New Roman"/>
                <w:color w:val="467886"/>
                <w:u w:val="single"/>
              </w:rPr>
            </w:pPr>
            <w:hyperlink r:id="rId6" w:history="1">
              <w:r w:rsidRPr="00AE3DC0">
                <w:rPr>
                  <w:rFonts w:ascii="Aptos Narrow" w:eastAsia="Times New Roman" w:hAnsi="Aptos Narrow" w:cs="Times New Roman"/>
                  <w:color w:val="467886"/>
                  <w:u w:val="single"/>
                </w:rPr>
                <w:t>Eloundou et al. (2024)</w:t>
              </w:r>
            </w:hyperlink>
          </w:p>
        </w:tc>
        <w:tc>
          <w:tcPr>
            <w:tcW w:w="2561" w:type="dxa"/>
            <w:tcBorders>
              <w:top w:val="nil"/>
              <w:left w:val="nil"/>
              <w:bottom w:val="nil"/>
              <w:right w:val="nil"/>
            </w:tcBorders>
            <w:vAlign w:val="center"/>
            <w:hideMark/>
          </w:tcPr>
          <w:p w14:paraId="74ABF728" w14:textId="77777777" w:rsidR="00432AF2" w:rsidRPr="00AE3DC0" w:rsidRDefault="00432AF2" w:rsidP="00124E06">
            <w:pPr>
              <w:spacing w:after="0" w:line="240" w:lineRule="auto"/>
              <w:rPr>
                <w:rFonts w:ascii="Aptos Narrow" w:eastAsia="Times New Roman" w:hAnsi="Aptos Narrow" w:cs="Times New Roman"/>
                <w:color w:val="000000"/>
              </w:rPr>
            </w:pPr>
            <w:r w:rsidRPr="00AE3DC0">
              <w:rPr>
                <w:rFonts w:ascii="Aptos Narrow" w:eastAsia="Times New Roman" w:hAnsi="Aptos Narrow" w:cs="Times New Roman"/>
                <w:color w:val="000000"/>
              </w:rPr>
              <w:t>GPTs and auxiliary technologies speeding up task completion</w:t>
            </w:r>
          </w:p>
        </w:tc>
        <w:tc>
          <w:tcPr>
            <w:tcW w:w="3216" w:type="dxa"/>
            <w:tcBorders>
              <w:top w:val="nil"/>
              <w:left w:val="nil"/>
              <w:bottom w:val="nil"/>
              <w:right w:val="nil"/>
            </w:tcBorders>
            <w:noWrap/>
            <w:vAlign w:val="bottom"/>
            <w:hideMark/>
          </w:tcPr>
          <w:p w14:paraId="0435A13C" w14:textId="77777777" w:rsidR="00432AF2" w:rsidRPr="00AE3DC0" w:rsidRDefault="00432AF2" w:rsidP="00124E06">
            <w:pPr>
              <w:spacing w:after="0" w:line="240" w:lineRule="auto"/>
              <w:jc w:val="center"/>
              <w:rPr>
                <w:rFonts w:ascii="Aptos Narrow" w:eastAsia="Times New Roman" w:hAnsi="Aptos Narrow" w:cs="Times New Roman"/>
                <w:color w:val="000000"/>
              </w:rPr>
            </w:pPr>
            <w:r>
              <w:rPr>
                <w:rFonts w:ascii="Aptos Narrow" w:hAnsi="Aptos Narrow"/>
                <w:color w:val="000000"/>
              </w:rPr>
              <w:t>0.426</w:t>
            </w:r>
          </w:p>
        </w:tc>
      </w:tr>
      <w:tr w:rsidR="00432AF2" w:rsidRPr="00AE3DC0" w14:paraId="5325792C" w14:textId="77777777" w:rsidTr="00124E06">
        <w:trPr>
          <w:trHeight w:val="1133"/>
        </w:trPr>
        <w:tc>
          <w:tcPr>
            <w:tcW w:w="2115" w:type="dxa"/>
            <w:tcBorders>
              <w:top w:val="nil"/>
              <w:left w:val="nil"/>
              <w:bottom w:val="nil"/>
              <w:right w:val="nil"/>
            </w:tcBorders>
            <w:noWrap/>
            <w:vAlign w:val="center"/>
            <w:hideMark/>
          </w:tcPr>
          <w:p w14:paraId="3175EB3D" w14:textId="77777777" w:rsidR="00432AF2" w:rsidRPr="00AE3DC0" w:rsidRDefault="00432AF2" w:rsidP="00124E06">
            <w:pPr>
              <w:spacing w:after="0" w:line="240" w:lineRule="auto"/>
              <w:jc w:val="center"/>
              <w:rPr>
                <w:rFonts w:ascii="Aptos Narrow" w:eastAsia="Times New Roman" w:hAnsi="Aptos Narrow" w:cs="Times New Roman"/>
                <w:color w:val="000000"/>
              </w:rPr>
            </w:pPr>
            <w:proofErr w:type="spellStart"/>
            <w:r w:rsidRPr="00AE3DC0">
              <w:rPr>
                <w:rFonts w:ascii="Aptos Narrow" w:eastAsia="Times New Roman" w:hAnsi="Aptos Narrow" w:cs="Times New Roman"/>
                <w:color w:val="000000"/>
              </w:rPr>
              <w:t>human_rating_beta</w:t>
            </w:r>
            <w:proofErr w:type="spellEnd"/>
          </w:p>
        </w:tc>
        <w:tc>
          <w:tcPr>
            <w:tcW w:w="2086" w:type="dxa"/>
            <w:tcBorders>
              <w:top w:val="nil"/>
              <w:left w:val="nil"/>
              <w:bottom w:val="nil"/>
              <w:right w:val="nil"/>
            </w:tcBorders>
            <w:noWrap/>
            <w:vAlign w:val="center"/>
            <w:hideMark/>
          </w:tcPr>
          <w:p w14:paraId="13CE49F8" w14:textId="77777777" w:rsidR="00432AF2" w:rsidRPr="00AE3DC0" w:rsidRDefault="00432AF2" w:rsidP="00124E06">
            <w:pPr>
              <w:spacing w:after="0" w:line="240" w:lineRule="auto"/>
              <w:jc w:val="center"/>
              <w:rPr>
                <w:rFonts w:ascii="Aptos Narrow" w:eastAsia="Times New Roman" w:hAnsi="Aptos Narrow" w:cs="Times New Roman"/>
                <w:color w:val="467886"/>
                <w:u w:val="single"/>
              </w:rPr>
            </w:pPr>
            <w:hyperlink r:id="rId7" w:history="1">
              <w:r w:rsidRPr="00AE3DC0">
                <w:rPr>
                  <w:rFonts w:ascii="Aptos Narrow" w:eastAsia="Times New Roman" w:hAnsi="Aptos Narrow" w:cs="Times New Roman"/>
                  <w:color w:val="467886"/>
                  <w:u w:val="single"/>
                </w:rPr>
                <w:t>Eloundou et al. (2024)</w:t>
              </w:r>
            </w:hyperlink>
          </w:p>
        </w:tc>
        <w:tc>
          <w:tcPr>
            <w:tcW w:w="2561" w:type="dxa"/>
            <w:tcBorders>
              <w:top w:val="nil"/>
              <w:left w:val="nil"/>
              <w:bottom w:val="nil"/>
              <w:right w:val="nil"/>
            </w:tcBorders>
            <w:vAlign w:val="center"/>
            <w:hideMark/>
          </w:tcPr>
          <w:p w14:paraId="6BF87B85" w14:textId="77777777" w:rsidR="00432AF2" w:rsidRPr="00AE3DC0" w:rsidRDefault="00432AF2" w:rsidP="00124E06">
            <w:pPr>
              <w:spacing w:after="0" w:line="240" w:lineRule="auto"/>
              <w:rPr>
                <w:rFonts w:ascii="Aptos Narrow" w:eastAsia="Times New Roman" w:hAnsi="Aptos Narrow" w:cs="Times New Roman"/>
                <w:color w:val="000000"/>
              </w:rPr>
            </w:pPr>
            <w:r w:rsidRPr="00AE3DC0">
              <w:rPr>
                <w:rFonts w:ascii="Aptos Narrow" w:eastAsia="Times New Roman" w:hAnsi="Aptos Narrow" w:cs="Times New Roman"/>
                <w:color w:val="000000"/>
              </w:rPr>
              <w:t>GPTs and auxiliary technologies speeding up task completion</w:t>
            </w:r>
          </w:p>
        </w:tc>
        <w:tc>
          <w:tcPr>
            <w:tcW w:w="3216" w:type="dxa"/>
            <w:tcBorders>
              <w:top w:val="nil"/>
              <w:left w:val="nil"/>
              <w:bottom w:val="nil"/>
              <w:right w:val="nil"/>
            </w:tcBorders>
            <w:noWrap/>
            <w:vAlign w:val="bottom"/>
            <w:hideMark/>
          </w:tcPr>
          <w:p w14:paraId="36A781A5" w14:textId="77777777" w:rsidR="00432AF2" w:rsidRPr="00AE3DC0" w:rsidRDefault="00432AF2" w:rsidP="00124E06">
            <w:pPr>
              <w:spacing w:after="0" w:line="240" w:lineRule="auto"/>
              <w:jc w:val="center"/>
              <w:rPr>
                <w:rFonts w:ascii="Aptos Narrow" w:eastAsia="Times New Roman" w:hAnsi="Aptos Narrow" w:cs="Times New Roman"/>
                <w:color w:val="000000"/>
              </w:rPr>
            </w:pPr>
            <w:r>
              <w:rPr>
                <w:rFonts w:ascii="Aptos Narrow" w:hAnsi="Aptos Narrow"/>
                <w:color w:val="000000"/>
              </w:rPr>
              <w:t>0.425</w:t>
            </w:r>
          </w:p>
        </w:tc>
      </w:tr>
      <w:tr w:rsidR="00432AF2" w:rsidRPr="00AE3DC0" w14:paraId="728583C1" w14:textId="77777777" w:rsidTr="00124E06">
        <w:trPr>
          <w:trHeight w:val="1133"/>
        </w:trPr>
        <w:tc>
          <w:tcPr>
            <w:tcW w:w="2115" w:type="dxa"/>
            <w:tcBorders>
              <w:top w:val="nil"/>
              <w:left w:val="nil"/>
              <w:bottom w:val="nil"/>
              <w:right w:val="nil"/>
            </w:tcBorders>
            <w:noWrap/>
            <w:vAlign w:val="center"/>
            <w:hideMark/>
          </w:tcPr>
          <w:p w14:paraId="5FA66BD8" w14:textId="77777777" w:rsidR="00432AF2" w:rsidRPr="00AE3DC0" w:rsidRDefault="00432AF2" w:rsidP="00124E06">
            <w:pPr>
              <w:spacing w:after="0" w:line="240" w:lineRule="auto"/>
              <w:jc w:val="center"/>
              <w:rPr>
                <w:rFonts w:ascii="Aptos Narrow" w:eastAsia="Times New Roman" w:hAnsi="Aptos Narrow" w:cs="Times New Roman"/>
                <w:color w:val="000000"/>
              </w:rPr>
            </w:pPr>
            <w:proofErr w:type="spellStart"/>
            <w:r w:rsidRPr="00AE3DC0">
              <w:rPr>
                <w:rFonts w:ascii="Aptos Narrow" w:eastAsia="Times New Roman" w:hAnsi="Aptos Narrow" w:cs="Times New Roman"/>
                <w:color w:val="000000"/>
              </w:rPr>
              <w:t>genaiexp_estz_total</w:t>
            </w:r>
            <w:proofErr w:type="spellEnd"/>
          </w:p>
        </w:tc>
        <w:tc>
          <w:tcPr>
            <w:tcW w:w="2086" w:type="dxa"/>
            <w:tcBorders>
              <w:top w:val="nil"/>
              <w:left w:val="nil"/>
              <w:bottom w:val="nil"/>
              <w:right w:val="nil"/>
            </w:tcBorders>
            <w:noWrap/>
            <w:vAlign w:val="center"/>
            <w:hideMark/>
          </w:tcPr>
          <w:p w14:paraId="0E8415AA" w14:textId="77777777" w:rsidR="00432AF2" w:rsidRPr="00AE3DC0" w:rsidRDefault="00432AF2" w:rsidP="00124E06">
            <w:pPr>
              <w:spacing w:after="0" w:line="240" w:lineRule="auto"/>
              <w:jc w:val="center"/>
              <w:rPr>
                <w:rFonts w:ascii="Aptos Narrow" w:eastAsia="Times New Roman" w:hAnsi="Aptos Narrow" w:cs="Times New Roman"/>
                <w:color w:val="467886"/>
                <w:u w:val="single"/>
              </w:rPr>
            </w:pPr>
            <w:hyperlink r:id="rId8" w:history="1">
              <w:r w:rsidRPr="00AE3DC0">
                <w:rPr>
                  <w:rFonts w:ascii="Aptos Narrow" w:eastAsia="Times New Roman" w:hAnsi="Aptos Narrow" w:cs="Times New Roman"/>
                  <w:color w:val="467886"/>
                  <w:u w:val="single"/>
                </w:rPr>
                <w:t>Eisfeldt et</w:t>
              </w:r>
              <w:r w:rsidRPr="00AE3DC0">
                <w:rPr>
                  <w:rFonts w:ascii="Aptos Narrow" w:eastAsia="Times New Roman" w:hAnsi="Aptos Narrow" w:cs="Times New Roman"/>
                  <w:color w:val="467886"/>
                  <w:u w:val="single"/>
                </w:rPr>
                <w:t xml:space="preserve"> </w:t>
              </w:r>
              <w:r w:rsidRPr="00AE3DC0">
                <w:rPr>
                  <w:rFonts w:ascii="Aptos Narrow" w:eastAsia="Times New Roman" w:hAnsi="Aptos Narrow" w:cs="Times New Roman"/>
                  <w:color w:val="467886"/>
                  <w:u w:val="single"/>
                </w:rPr>
                <w:t xml:space="preserve">al. (2023) </w:t>
              </w:r>
            </w:hyperlink>
          </w:p>
        </w:tc>
        <w:tc>
          <w:tcPr>
            <w:tcW w:w="2561" w:type="dxa"/>
            <w:tcBorders>
              <w:top w:val="nil"/>
              <w:left w:val="nil"/>
              <w:bottom w:val="nil"/>
              <w:right w:val="nil"/>
            </w:tcBorders>
            <w:vAlign w:val="center"/>
            <w:hideMark/>
          </w:tcPr>
          <w:p w14:paraId="7C3FC636" w14:textId="77777777" w:rsidR="00432AF2" w:rsidRPr="00AE3DC0" w:rsidRDefault="00432AF2" w:rsidP="00124E06">
            <w:pPr>
              <w:spacing w:after="0" w:line="240" w:lineRule="auto"/>
              <w:rPr>
                <w:rFonts w:ascii="Aptos Narrow" w:eastAsia="Times New Roman" w:hAnsi="Aptos Narrow" w:cs="Times New Roman"/>
                <w:color w:val="000000"/>
              </w:rPr>
            </w:pPr>
            <w:r w:rsidRPr="00AE3DC0">
              <w:rPr>
                <w:rFonts w:ascii="Aptos Narrow" w:eastAsia="Times New Roman" w:hAnsi="Aptos Narrow" w:cs="Times New Roman"/>
                <w:color w:val="000000"/>
              </w:rPr>
              <w:t>Task completion efficiency (all tasks)</w:t>
            </w:r>
          </w:p>
        </w:tc>
        <w:tc>
          <w:tcPr>
            <w:tcW w:w="3216" w:type="dxa"/>
            <w:tcBorders>
              <w:top w:val="nil"/>
              <w:left w:val="nil"/>
              <w:bottom w:val="nil"/>
              <w:right w:val="nil"/>
            </w:tcBorders>
            <w:noWrap/>
            <w:vAlign w:val="bottom"/>
            <w:hideMark/>
          </w:tcPr>
          <w:p w14:paraId="35A4134F" w14:textId="77777777" w:rsidR="00432AF2" w:rsidRPr="00AE3DC0" w:rsidRDefault="00432AF2" w:rsidP="00124E06">
            <w:pPr>
              <w:spacing w:after="0" w:line="240" w:lineRule="auto"/>
              <w:jc w:val="center"/>
              <w:rPr>
                <w:rFonts w:ascii="Aptos Narrow" w:eastAsia="Times New Roman" w:hAnsi="Aptos Narrow" w:cs="Times New Roman"/>
                <w:color w:val="000000"/>
              </w:rPr>
            </w:pPr>
            <w:r>
              <w:rPr>
                <w:rFonts w:ascii="Aptos Narrow" w:hAnsi="Aptos Narrow"/>
                <w:color w:val="000000"/>
              </w:rPr>
              <w:t>0.419</w:t>
            </w:r>
          </w:p>
        </w:tc>
      </w:tr>
      <w:tr w:rsidR="00432AF2" w:rsidRPr="00AE3DC0" w14:paraId="5EA99876" w14:textId="77777777" w:rsidTr="00124E06">
        <w:trPr>
          <w:trHeight w:val="1133"/>
        </w:trPr>
        <w:tc>
          <w:tcPr>
            <w:tcW w:w="2115" w:type="dxa"/>
            <w:tcBorders>
              <w:top w:val="nil"/>
              <w:left w:val="nil"/>
              <w:bottom w:val="nil"/>
              <w:right w:val="nil"/>
            </w:tcBorders>
            <w:noWrap/>
            <w:vAlign w:val="center"/>
            <w:hideMark/>
          </w:tcPr>
          <w:p w14:paraId="071C7CF3" w14:textId="77777777" w:rsidR="00432AF2" w:rsidRPr="00AE3DC0" w:rsidRDefault="00432AF2" w:rsidP="00124E06">
            <w:pPr>
              <w:spacing w:after="0" w:line="240" w:lineRule="auto"/>
              <w:jc w:val="center"/>
              <w:rPr>
                <w:rFonts w:ascii="Aptos Narrow" w:eastAsia="Times New Roman" w:hAnsi="Aptos Narrow" w:cs="Times New Roman"/>
                <w:color w:val="000000"/>
              </w:rPr>
            </w:pPr>
            <w:proofErr w:type="spellStart"/>
            <w:r w:rsidRPr="00AE3DC0">
              <w:rPr>
                <w:rFonts w:ascii="Aptos Narrow" w:eastAsia="Times New Roman" w:hAnsi="Aptos Narrow" w:cs="Times New Roman"/>
                <w:color w:val="000000"/>
              </w:rPr>
              <w:t>genai_exp_estz_core</w:t>
            </w:r>
            <w:proofErr w:type="spellEnd"/>
          </w:p>
        </w:tc>
        <w:tc>
          <w:tcPr>
            <w:tcW w:w="2086" w:type="dxa"/>
            <w:tcBorders>
              <w:top w:val="nil"/>
              <w:left w:val="nil"/>
              <w:bottom w:val="nil"/>
              <w:right w:val="nil"/>
            </w:tcBorders>
            <w:noWrap/>
            <w:vAlign w:val="center"/>
            <w:hideMark/>
          </w:tcPr>
          <w:p w14:paraId="6AF23717" w14:textId="77777777" w:rsidR="00432AF2" w:rsidRPr="00AE3DC0" w:rsidRDefault="00432AF2" w:rsidP="00124E06">
            <w:pPr>
              <w:spacing w:after="0" w:line="240" w:lineRule="auto"/>
              <w:jc w:val="center"/>
              <w:rPr>
                <w:rFonts w:ascii="Aptos Narrow" w:eastAsia="Times New Roman" w:hAnsi="Aptos Narrow" w:cs="Times New Roman"/>
                <w:color w:val="467886"/>
                <w:u w:val="single"/>
              </w:rPr>
            </w:pPr>
            <w:hyperlink r:id="rId9" w:history="1">
              <w:r w:rsidRPr="00AE3DC0">
                <w:rPr>
                  <w:rFonts w:ascii="Aptos Narrow" w:eastAsia="Times New Roman" w:hAnsi="Aptos Narrow" w:cs="Times New Roman"/>
                  <w:color w:val="467886"/>
                  <w:u w:val="single"/>
                </w:rPr>
                <w:t xml:space="preserve">Eisfeldt et al. (2023) </w:t>
              </w:r>
            </w:hyperlink>
          </w:p>
        </w:tc>
        <w:tc>
          <w:tcPr>
            <w:tcW w:w="2561" w:type="dxa"/>
            <w:tcBorders>
              <w:top w:val="nil"/>
              <w:left w:val="nil"/>
              <w:bottom w:val="nil"/>
              <w:right w:val="nil"/>
            </w:tcBorders>
            <w:vAlign w:val="center"/>
            <w:hideMark/>
          </w:tcPr>
          <w:p w14:paraId="69384BC3" w14:textId="77777777" w:rsidR="00432AF2" w:rsidRPr="00AE3DC0" w:rsidRDefault="00432AF2" w:rsidP="00124E06">
            <w:pPr>
              <w:spacing w:after="0" w:line="240" w:lineRule="auto"/>
              <w:rPr>
                <w:rFonts w:ascii="Aptos Narrow" w:eastAsia="Times New Roman" w:hAnsi="Aptos Narrow" w:cs="Times New Roman"/>
                <w:color w:val="000000"/>
              </w:rPr>
            </w:pPr>
            <w:r w:rsidRPr="00AE3DC0">
              <w:rPr>
                <w:rFonts w:ascii="Aptos Narrow" w:eastAsia="Times New Roman" w:hAnsi="Aptos Narrow" w:cs="Times New Roman"/>
                <w:color w:val="000000"/>
              </w:rPr>
              <w:t>Task completion efficiency (core tasks)</w:t>
            </w:r>
          </w:p>
        </w:tc>
        <w:tc>
          <w:tcPr>
            <w:tcW w:w="3216" w:type="dxa"/>
            <w:tcBorders>
              <w:top w:val="nil"/>
              <w:left w:val="nil"/>
              <w:bottom w:val="nil"/>
              <w:right w:val="nil"/>
            </w:tcBorders>
            <w:noWrap/>
            <w:vAlign w:val="bottom"/>
            <w:hideMark/>
          </w:tcPr>
          <w:p w14:paraId="2FBF72F3" w14:textId="77777777" w:rsidR="00432AF2" w:rsidRPr="00AE3DC0" w:rsidRDefault="00432AF2" w:rsidP="00124E06">
            <w:pPr>
              <w:spacing w:after="0" w:line="240" w:lineRule="auto"/>
              <w:jc w:val="center"/>
              <w:rPr>
                <w:rFonts w:ascii="Aptos Narrow" w:eastAsia="Times New Roman" w:hAnsi="Aptos Narrow" w:cs="Times New Roman"/>
                <w:color w:val="000000"/>
              </w:rPr>
            </w:pPr>
            <w:r>
              <w:rPr>
                <w:rFonts w:ascii="Aptos Narrow" w:hAnsi="Aptos Narrow"/>
                <w:color w:val="000000"/>
              </w:rPr>
              <w:t>0.407</w:t>
            </w:r>
          </w:p>
        </w:tc>
      </w:tr>
      <w:tr w:rsidR="00432AF2" w:rsidRPr="00AE3DC0" w14:paraId="574586C3" w14:textId="77777777" w:rsidTr="00124E06">
        <w:trPr>
          <w:trHeight w:val="1133"/>
        </w:trPr>
        <w:tc>
          <w:tcPr>
            <w:tcW w:w="2115" w:type="dxa"/>
            <w:tcBorders>
              <w:top w:val="nil"/>
              <w:left w:val="nil"/>
              <w:bottom w:val="nil"/>
              <w:right w:val="nil"/>
            </w:tcBorders>
            <w:noWrap/>
            <w:vAlign w:val="center"/>
            <w:hideMark/>
          </w:tcPr>
          <w:p w14:paraId="2B4ACBF2" w14:textId="77777777" w:rsidR="00432AF2" w:rsidRPr="00AE3DC0" w:rsidRDefault="00432AF2" w:rsidP="00124E06">
            <w:pPr>
              <w:spacing w:after="0" w:line="240" w:lineRule="auto"/>
              <w:jc w:val="center"/>
              <w:rPr>
                <w:rFonts w:ascii="Aptos Narrow" w:eastAsia="Times New Roman" w:hAnsi="Aptos Narrow" w:cs="Times New Roman"/>
                <w:color w:val="000000"/>
              </w:rPr>
            </w:pPr>
            <w:r w:rsidRPr="00AE3DC0">
              <w:rPr>
                <w:rFonts w:ascii="Aptos Narrow" w:eastAsia="Times New Roman" w:hAnsi="Aptos Narrow" w:cs="Times New Roman"/>
                <w:color w:val="000000"/>
              </w:rPr>
              <w:t>AIOE</w:t>
            </w:r>
          </w:p>
        </w:tc>
        <w:tc>
          <w:tcPr>
            <w:tcW w:w="2086" w:type="dxa"/>
            <w:tcBorders>
              <w:top w:val="nil"/>
              <w:left w:val="nil"/>
              <w:bottom w:val="nil"/>
              <w:right w:val="nil"/>
            </w:tcBorders>
            <w:noWrap/>
            <w:vAlign w:val="center"/>
            <w:hideMark/>
          </w:tcPr>
          <w:p w14:paraId="6F7EDE06" w14:textId="77777777" w:rsidR="00432AF2" w:rsidRPr="00AE3DC0" w:rsidRDefault="00432AF2" w:rsidP="00124E06">
            <w:pPr>
              <w:spacing w:after="0" w:line="240" w:lineRule="auto"/>
              <w:jc w:val="center"/>
              <w:rPr>
                <w:rFonts w:ascii="Aptos Narrow" w:eastAsia="Times New Roman" w:hAnsi="Aptos Narrow" w:cs="Times New Roman"/>
                <w:color w:val="467886"/>
                <w:u w:val="single"/>
              </w:rPr>
            </w:pPr>
            <w:hyperlink r:id="rId10" w:history="1">
              <w:r w:rsidRPr="00AE3DC0">
                <w:rPr>
                  <w:rFonts w:ascii="Aptos Narrow" w:eastAsia="Times New Roman" w:hAnsi="Aptos Narrow" w:cs="Times New Roman"/>
                  <w:color w:val="467886"/>
                  <w:u w:val="single"/>
                </w:rPr>
                <w:t>Felten et al. (2021)</w:t>
              </w:r>
            </w:hyperlink>
          </w:p>
        </w:tc>
        <w:tc>
          <w:tcPr>
            <w:tcW w:w="2561" w:type="dxa"/>
            <w:tcBorders>
              <w:top w:val="nil"/>
              <w:left w:val="nil"/>
              <w:bottom w:val="nil"/>
              <w:right w:val="nil"/>
            </w:tcBorders>
            <w:vAlign w:val="center"/>
            <w:hideMark/>
          </w:tcPr>
          <w:p w14:paraId="71188795" w14:textId="77777777" w:rsidR="00432AF2" w:rsidRPr="00AE3DC0" w:rsidRDefault="00432AF2" w:rsidP="00124E06">
            <w:pPr>
              <w:spacing w:after="0" w:line="240" w:lineRule="auto"/>
              <w:rPr>
                <w:rFonts w:ascii="Aptos Narrow" w:eastAsia="Times New Roman" w:hAnsi="Aptos Narrow" w:cs="Times New Roman"/>
                <w:color w:val="000000"/>
              </w:rPr>
            </w:pPr>
            <w:r w:rsidRPr="00AE3DC0">
              <w:rPr>
                <w:rFonts w:ascii="Aptos Narrow" w:eastAsia="Times New Roman" w:hAnsi="Aptos Narrow" w:cs="Times New Roman"/>
                <w:color w:val="000000"/>
              </w:rPr>
              <w:t>Occupational ability's exposure to various AI applications</w:t>
            </w:r>
          </w:p>
        </w:tc>
        <w:tc>
          <w:tcPr>
            <w:tcW w:w="3216" w:type="dxa"/>
            <w:tcBorders>
              <w:top w:val="nil"/>
              <w:left w:val="nil"/>
              <w:bottom w:val="nil"/>
              <w:right w:val="nil"/>
            </w:tcBorders>
            <w:noWrap/>
            <w:vAlign w:val="bottom"/>
            <w:hideMark/>
          </w:tcPr>
          <w:p w14:paraId="551665A0" w14:textId="77777777" w:rsidR="00432AF2" w:rsidRPr="00AE3DC0" w:rsidRDefault="00432AF2" w:rsidP="00124E06">
            <w:pPr>
              <w:spacing w:after="0" w:line="240" w:lineRule="auto"/>
              <w:jc w:val="center"/>
              <w:rPr>
                <w:rFonts w:ascii="Aptos Narrow" w:eastAsia="Times New Roman" w:hAnsi="Aptos Narrow" w:cs="Times New Roman"/>
                <w:color w:val="000000"/>
              </w:rPr>
            </w:pPr>
            <w:r>
              <w:rPr>
                <w:rFonts w:ascii="Aptos Narrow" w:hAnsi="Aptos Narrow"/>
                <w:color w:val="000000"/>
              </w:rPr>
              <w:t>0.410</w:t>
            </w:r>
          </w:p>
        </w:tc>
      </w:tr>
      <w:tr w:rsidR="00432AF2" w:rsidRPr="00AE3DC0" w14:paraId="16D5B76E" w14:textId="77777777" w:rsidTr="00124E06">
        <w:trPr>
          <w:trHeight w:val="1133"/>
        </w:trPr>
        <w:tc>
          <w:tcPr>
            <w:tcW w:w="2115" w:type="dxa"/>
            <w:tcBorders>
              <w:top w:val="nil"/>
              <w:left w:val="nil"/>
              <w:bottom w:val="nil"/>
              <w:right w:val="nil"/>
            </w:tcBorders>
            <w:noWrap/>
            <w:vAlign w:val="center"/>
            <w:hideMark/>
          </w:tcPr>
          <w:p w14:paraId="214FC64D" w14:textId="77777777" w:rsidR="00432AF2" w:rsidRPr="00AE3DC0" w:rsidRDefault="00432AF2" w:rsidP="00124E06">
            <w:pPr>
              <w:spacing w:after="0" w:line="240" w:lineRule="auto"/>
              <w:jc w:val="center"/>
              <w:rPr>
                <w:rFonts w:ascii="Aptos Narrow" w:eastAsia="Times New Roman" w:hAnsi="Aptos Narrow" w:cs="Times New Roman"/>
                <w:color w:val="000000"/>
              </w:rPr>
            </w:pPr>
            <w:proofErr w:type="spellStart"/>
            <w:r w:rsidRPr="00AE3DC0">
              <w:rPr>
                <w:rFonts w:ascii="Aptos Narrow" w:eastAsia="Times New Roman" w:hAnsi="Aptos Narrow" w:cs="Times New Roman"/>
                <w:color w:val="000000"/>
              </w:rPr>
              <w:t>ai_applicability_score</w:t>
            </w:r>
            <w:proofErr w:type="spellEnd"/>
          </w:p>
        </w:tc>
        <w:tc>
          <w:tcPr>
            <w:tcW w:w="2086" w:type="dxa"/>
            <w:tcBorders>
              <w:top w:val="nil"/>
              <w:left w:val="nil"/>
              <w:bottom w:val="nil"/>
              <w:right w:val="nil"/>
            </w:tcBorders>
            <w:noWrap/>
            <w:vAlign w:val="center"/>
            <w:hideMark/>
          </w:tcPr>
          <w:p w14:paraId="0C773B30" w14:textId="77777777" w:rsidR="00432AF2" w:rsidRPr="00AE3DC0" w:rsidRDefault="00432AF2" w:rsidP="00124E06">
            <w:pPr>
              <w:spacing w:after="0" w:line="240" w:lineRule="auto"/>
              <w:jc w:val="center"/>
              <w:rPr>
                <w:rFonts w:ascii="Aptos Narrow" w:eastAsia="Times New Roman" w:hAnsi="Aptos Narrow" w:cs="Times New Roman"/>
                <w:color w:val="467886"/>
                <w:u w:val="single"/>
              </w:rPr>
            </w:pPr>
            <w:hyperlink r:id="rId11" w:history="1">
              <w:r w:rsidRPr="00AE3DC0">
                <w:rPr>
                  <w:rFonts w:ascii="Aptos Narrow" w:eastAsia="Times New Roman" w:hAnsi="Aptos Narrow" w:cs="Times New Roman"/>
                  <w:color w:val="467886"/>
                  <w:u w:val="single"/>
                </w:rPr>
                <w:t>Tomlinson et al. (2025)</w:t>
              </w:r>
            </w:hyperlink>
          </w:p>
        </w:tc>
        <w:tc>
          <w:tcPr>
            <w:tcW w:w="2561" w:type="dxa"/>
            <w:tcBorders>
              <w:top w:val="nil"/>
              <w:left w:val="nil"/>
              <w:bottom w:val="nil"/>
              <w:right w:val="nil"/>
            </w:tcBorders>
            <w:vAlign w:val="center"/>
            <w:hideMark/>
          </w:tcPr>
          <w:p w14:paraId="5526514A" w14:textId="77777777" w:rsidR="00432AF2" w:rsidRPr="00AE3DC0" w:rsidRDefault="00432AF2" w:rsidP="00124E06">
            <w:pPr>
              <w:spacing w:after="0" w:line="240" w:lineRule="auto"/>
              <w:rPr>
                <w:rFonts w:ascii="Aptos Narrow" w:eastAsia="Times New Roman" w:hAnsi="Aptos Narrow" w:cs="Times New Roman"/>
                <w:color w:val="000000"/>
              </w:rPr>
            </w:pPr>
            <w:r w:rsidRPr="00AE3DC0">
              <w:rPr>
                <w:rFonts w:ascii="Aptos Narrow" w:eastAsia="Times New Roman" w:hAnsi="Aptos Narrow" w:cs="Times New Roman"/>
                <w:color w:val="000000"/>
              </w:rPr>
              <w:t>How successfully does the model complete the user's task</w:t>
            </w:r>
          </w:p>
        </w:tc>
        <w:tc>
          <w:tcPr>
            <w:tcW w:w="3216" w:type="dxa"/>
            <w:tcBorders>
              <w:top w:val="nil"/>
              <w:left w:val="nil"/>
              <w:bottom w:val="nil"/>
              <w:right w:val="nil"/>
            </w:tcBorders>
            <w:noWrap/>
            <w:vAlign w:val="bottom"/>
            <w:hideMark/>
          </w:tcPr>
          <w:p w14:paraId="3A096E35" w14:textId="77777777" w:rsidR="00432AF2" w:rsidRPr="00AE3DC0" w:rsidRDefault="00432AF2" w:rsidP="00124E06">
            <w:pPr>
              <w:spacing w:after="0" w:line="240" w:lineRule="auto"/>
              <w:jc w:val="center"/>
              <w:rPr>
                <w:rFonts w:ascii="Aptos Narrow" w:eastAsia="Times New Roman" w:hAnsi="Aptos Narrow" w:cs="Times New Roman"/>
                <w:color w:val="000000"/>
              </w:rPr>
            </w:pPr>
            <w:r>
              <w:rPr>
                <w:rFonts w:ascii="Aptos Narrow" w:hAnsi="Aptos Narrow"/>
                <w:color w:val="000000"/>
              </w:rPr>
              <w:t>0.359</w:t>
            </w:r>
          </w:p>
        </w:tc>
      </w:tr>
    </w:tbl>
    <w:p w14:paraId="48473CD6" w14:textId="1A29BF74" w:rsidR="00AB43E0" w:rsidRDefault="00000000">
      <w:r>
        <w:br/>
      </w:r>
      <w:r>
        <w:br/>
        <w:t>This approach reduces dependence on any individual exposure methodology and provides broader occupational coverage. Importantly, exposure is interpreted as the likelihood that occupational tasks may be affected by AI technologies. It does not attempt to determine whether AI will complement or substitute for labor within a given occupation.</w:t>
      </w:r>
    </w:p>
    <w:p w14:paraId="6FF5BA0D" w14:textId="77777777" w:rsidR="00AB43E0" w:rsidRDefault="00000000">
      <w:pPr>
        <w:pStyle w:val="Heading2"/>
      </w:pPr>
      <w:r>
        <w:t>Adaptive Capacity</w:t>
      </w:r>
    </w:p>
    <w:p w14:paraId="7C1F712E" w14:textId="77777777" w:rsidR="004220E4" w:rsidRDefault="00000000">
      <w:r>
        <w:t>Adaptive capacity is based on the framework developed by Manning and Aguirre</w:t>
      </w:r>
      <w:r w:rsidR="004220E4">
        <w:t xml:space="preserve"> (2026)</w:t>
      </w:r>
      <w:r>
        <w:t xml:space="preserve"> and measures the ability of workers to mitigate welfare losses associated with technological disruption. Occupations facing identical levels of exposure may experience substantially </w:t>
      </w:r>
      <w:r>
        <w:lastRenderedPageBreak/>
        <w:t>different outcomes depending on worker mobility, financial resilience, and the availability of alternative employment opportunities.</w:t>
      </w:r>
      <w:r>
        <w:br/>
      </w:r>
      <w:r>
        <w:br/>
        <w:t>The adaptive capacity index incorporates four dimensions:</w:t>
      </w:r>
    </w:p>
    <w:p w14:paraId="48418501" w14:textId="77777777" w:rsidR="004220E4" w:rsidRDefault="00000000" w:rsidP="004220E4">
      <w:pPr>
        <w:pStyle w:val="ListParagraph"/>
        <w:numPr>
          <w:ilvl w:val="0"/>
          <w:numId w:val="12"/>
        </w:numPr>
      </w:pPr>
      <w:r>
        <w:t>Financial Capacity: liquid wealth and financial resources available to workers.</w:t>
      </w:r>
    </w:p>
    <w:p w14:paraId="308C34DE" w14:textId="77777777" w:rsidR="004220E4" w:rsidRDefault="00000000" w:rsidP="004220E4">
      <w:pPr>
        <w:pStyle w:val="ListParagraph"/>
        <w:numPr>
          <w:ilvl w:val="0"/>
          <w:numId w:val="12"/>
        </w:numPr>
      </w:pPr>
      <w:r>
        <w:t>Skill Transferability: the extent to which occupational skills can be applied to alternative occupations.</w:t>
      </w:r>
    </w:p>
    <w:p w14:paraId="1391E717" w14:textId="77777777" w:rsidR="004220E4" w:rsidRDefault="00000000" w:rsidP="004220E4">
      <w:pPr>
        <w:pStyle w:val="ListParagraph"/>
        <w:numPr>
          <w:ilvl w:val="0"/>
          <w:numId w:val="12"/>
        </w:numPr>
      </w:pPr>
      <w:r>
        <w:t>Labor Market Density: the availability of alternative employment opportunities across local labor markets.</w:t>
      </w:r>
    </w:p>
    <w:p w14:paraId="48B448CB" w14:textId="77777777" w:rsidR="004220E4" w:rsidRDefault="00000000" w:rsidP="004220E4">
      <w:pPr>
        <w:pStyle w:val="ListParagraph"/>
        <w:numPr>
          <w:ilvl w:val="0"/>
          <w:numId w:val="12"/>
        </w:numPr>
      </w:pPr>
      <w:r>
        <w:t>Demographic Flexibility: workforce characteristics associated with retraining and occupational mobility.</w:t>
      </w:r>
    </w:p>
    <w:p w14:paraId="40EF7C89" w14:textId="47596A96" w:rsidR="00AB43E0" w:rsidRDefault="00000000" w:rsidP="004220E4">
      <w:r>
        <w:t>Each component is standardized across occupations and combined into a composite index. Higher values indicate greater resilience and lower vulnerability to displacement. The adaptive capacity measure functions as a moderating factor in the final risk calculation, reducing risk estimates for occupations with stronger transition opportunities.</w:t>
      </w:r>
    </w:p>
    <w:p w14:paraId="3E895854" w14:textId="53C1F3BD" w:rsidR="00AB43E0" w:rsidRDefault="00000000">
      <w:pPr>
        <w:pStyle w:val="Heading2"/>
      </w:pPr>
      <w:r>
        <w:t xml:space="preserve">Synthetic Control </w:t>
      </w:r>
      <w:r w:rsidR="00157E66">
        <w:t>Method</w:t>
      </w:r>
    </w:p>
    <w:p w14:paraId="2CFBC3BD" w14:textId="0CBC3C63" w:rsidR="00951DB1" w:rsidRDefault="00000000">
      <w:r>
        <w:t>Observed labor market displacement is estimated using Synthetic Control Methods (SCM) applied separately to employment and job posting outcomes.</w:t>
      </w:r>
      <w:r w:rsidR="00951DB1">
        <w:t xml:space="preserve"> </w:t>
      </w:r>
      <w:proofErr w:type="spellStart"/>
      <w:r w:rsidR="00951DB1" w:rsidRPr="00951DB1">
        <w:t>Lightcast</w:t>
      </w:r>
      <w:proofErr w:type="spellEnd"/>
      <w:r w:rsidR="00951DB1" w:rsidRPr="00951DB1">
        <w:t xml:space="preserve"> </w:t>
      </w:r>
      <w:r w:rsidR="00951DB1">
        <w:t xml:space="preserve">Occupational Employment Statistic records were used to conduct analyses which are estimated from the </w:t>
      </w:r>
      <w:proofErr w:type="spellStart"/>
      <w:r w:rsidR="00951DB1">
        <w:t>Quartery</w:t>
      </w:r>
      <w:proofErr w:type="spellEnd"/>
      <w:r w:rsidR="00951DB1">
        <w:t xml:space="preserve"> Census Employment Wage records to allow for time series analyses. </w:t>
      </w:r>
    </w:p>
    <w:p w14:paraId="360E7013" w14:textId="0EE61D39" w:rsidR="00AB43E0" w:rsidRDefault="00000000">
      <w:r>
        <w:t xml:space="preserve">A complete-case approach was used. Occupations were excluded if employment observations were missing during the study period or if employment counts were suppressed in any year. Occupations </w:t>
      </w:r>
      <w:r w:rsidR="004220E4">
        <w:t>within the top two theoretical AI</w:t>
      </w:r>
      <w:r>
        <w:t xml:space="preserve"> </w:t>
      </w:r>
      <w:r w:rsidR="004220E4">
        <w:t>e</w:t>
      </w:r>
      <w:r>
        <w:t>xposure</w:t>
      </w:r>
      <w:r w:rsidR="004220E4">
        <w:t xml:space="preserve"> quintiles developed by the Yale Budget Lab</w:t>
      </w:r>
      <w:r>
        <w:t xml:space="preserve"> were designated as treated occupations. Occupations </w:t>
      </w:r>
      <w:r w:rsidR="004220E4">
        <w:t xml:space="preserve">in the lower three quintile of </w:t>
      </w:r>
      <w:r>
        <w:t>exposure</w:t>
      </w:r>
      <w:r w:rsidR="004220E4">
        <w:t>s</w:t>
      </w:r>
      <w:r>
        <w:t xml:space="preserve"> were eligible to serve as control occupations.</w:t>
      </w:r>
      <w:r>
        <w:br/>
      </w:r>
      <w:r>
        <w:br/>
        <w:t>The treatment year was defined as 2023, corresponding with the widespread adoption of large language models and generative AI technologies. Employment trajectories were indexed to 100 in 2016, allowing occupations to be compared relative to a common baseline.</w:t>
      </w:r>
      <w:r>
        <w:br/>
      </w:r>
      <w:r>
        <w:br/>
        <w:t xml:space="preserve">For each treated occupation, a donor pool was constructed from lower-exposure occupations that either belonged to the same two-digit SOC major group or were identified as related occupations through O*NET. </w:t>
      </w:r>
      <w:r>
        <w:br/>
      </w:r>
      <w:r>
        <w:br/>
        <w:t>Synthetic controls were estimated using log-transformed employment and posting outcomes. Occupation-level covariates, including median annual earnings and employment growth rates, were standardized and incorporated into the optimization process to improve comparability between treated and synthetic occupations.</w:t>
      </w:r>
      <w:r>
        <w:br/>
      </w:r>
      <w:r>
        <w:br/>
      </w:r>
      <w:r>
        <w:lastRenderedPageBreak/>
        <w:t xml:space="preserve">Weights were estimated using constrained nonlinear optimization subject to non-negativity and unit-sum constraints. </w:t>
      </w:r>
      <w:r w:rsidR="004220E4">
        <w:t>To emphasize recent labor market dynamics, the final two pre-treatment years received triple weight during optimization</w:t>
      </w:r>
      <w:r w:rsidR="004220E4">
        <w:t xml:space="preserve">. </w:t>
      </w:r>
      <w:r>
        <w:t>The objective function minimized a composite loss consisting of</w:t>
      </w:r>
      <w:r w:rsidR="004220E4">
        <w:t xml:space="preserve"> the p</w:t>
      </w:r>
      <w:r>
        <w:t>re-treatment outcome fit</w:t>
      </w:r>
      <w:r w:rsidR="004220E4">
        <w:t>, c</w:t>
      </w:r>
      <w:r>
        <w:t>ovariate balance</w:t>
      </w:r>
      <w:r w:rsidR="004220E4">
        <w:t xml:space="preserve"> and r</w:t>
      </w:r>
      <w:r>
        <w:t>egularization penalties</w:t>
      </w:r>
      <w:r w:rsidR="004220E4">
        <w:t>.</w:t>
      </w:r>
      <w:r>
        <w:br/>
      </w:r>
      <w:r>
        <w:br/>
        <w:t>The synthetic control represents the counterfactual trajectory that would have been expected in the absence of elevated AI exposure. Post-treatment effects are estimated as the difference between observed and synthetic outcomes. Negative values indicate underperformance relative to the counterfactual trajectory.</w:t>
      </w:r>
      <w:r w:rsidR="004220E4">
        <w:t xml:space="preserve"> </w:t>
      </w:r>
      <w:r>
        <w:t xml:space="preserve">Model diagnostics included pre-treatment fit statistics, covariate balance assessments, placebo testing, and sensitivity analyses. </w:t>
      </w:r>
    </w:p>
    <w:p w14:paraId="62EE4F68" w14:textId="77777777" w:rsidR="00AB43E0" w:rsidRDefault="00000000">
      <w:pPr>
        <w:pStyle w:val="Heading2"/>
      </w:pPr>
      <w:r>
        <w:t>Layoff Risk Index</w:t>
      </w:r>
    </w:p>
    <w:p w14:paraId="3AC22D0A" w14:textId="5E504203" w:rsidR="004220E4" w:rsidRPr="004220E4" w:rsidRDefault="004220E4" w:rsidP="004220E4">
      <w:pPr>
        <w:pStyle w:val="Heading2"/>
        <w:rPr>
          <w:rFonts w:asciiTheme="minorHAnsi" w:eastAsiaTheme="minorEastAsia" w:hAnsiTheme="minorHAnsi" w:cstheme="minorBidi"/>
          <w:b w:val="0"/>
          <w:bCs w:val="0"/>
          <w:color w:val="auto"/>
          <w:sz w:val="22"/>
          <w:szCs w:val="22"/>
        </w:rPr>
      </w:pPr>
      <w:r>
        <w:rPr>
          <w:rFonts w:asciiTheme="minorHAnsi" w:eastAsiaTheme="minorEastAsia" w:hAnsiTheme="minorHAnsi" w:cstheme="minorBidi"/>
          <w:b w:val="0"/>
          <w:bCs w:val="0"/>
          <w:color w:val="auto"/>
          <w:sz w:val="22"/>
          <w:szCs w:val="22"/>
        </w:rPr>
        <w:t xml:space="preserve">A </w:t>
      </w:r>
      <w:r w:rsidRPr="004220E4">
        <w:rPr>
          <w:rFonts w:asciiTheme="minorHAnsi" w:eastAsiaTheme="minorEastAsia" w:hAnsiTheme="minorHAnsi" w:cstheme="minorBidi"/>
          <w:b w:val="0"/>
          <w:bCs w:val="0"/>
          <w:color w:val="auto"/>
          <w:sz w:val="22"/>
          <w:szCs w:val="22"/>
        </w:rPr>
        <w:t>Layoff Risk Index was developed using publicly available layoff announcements and workforce reduction notices collected across Arizona. These records were obtained through automated web scraping of company announcements, news articles, press releases, Worker Adjustment and Retraining Notification notices, and other publicly reported workforce reduction events. Records were retained when they described actual or planned layoffs, facility closures, workforce reductions, restructuring events, or technology-related job eliminations affecting Arizona workers.</w:t>
      </w:r>
    </w:p>
    <w:p w14:paraId="2053A7FA" w14:textId="76720E74" w:rsidR="004220E4" w:rsidRPr="004220E4" w:rsidRDefault="004220E4" w:rsidP="004220E4">
      <w:pPr>
        <w:pStyle w:val="Heading2"/>
        <w:rPr>
          <w:rFonts w:asciiTheme="minorHAnsi" w:eastAsiaTheme="minorEastAsia" w:hAnsiTheme="minorHAnsi" w:cstheme="minorBidi"/>
          <w:b w:val="0"/>
          <w:bCs w:val="0"/>
          <w:color w:val="auto"/>
          <w:sz w:val="22"/>
          <w:szCs w:val="22"/>
        </w:rPr>
      </w:pPr>
      <w:r w:rsidRPr="004220E4">
        <w:rPr>
          <w:rFonts w:asciiTheme="minorHAnsi" w:eastAsiaTheme="minorEastAsia" w:hAnsiTheme="minorHAnsi" w:cstheme="minorBidi"/>
          <w:b w:val="0"/>
          <w:bCs w:val="0"/>
          <w:color w:val="auto"/>
          <w:sz w:val="22"/>
          <w:szCs w:val="22"/>
        </w:rPr>
        <w:t xml:space="preserve">Because most layoff announcements do not identify occupations directly, each event was further analyzed to estimate the occupations most likely affected. Employer names, industry classifications, facility locations, and narrative descriptions contained within articles were linked to occupational staffing patterns derived from </w:t>
      </w:r>
      <w:proofErr w:type="spellStart"/>
      <w:r w:rsidRPr="004220E4">
        <w:rPr>
          <w:rFonts w:asciiTheme="minorHAnsi" w:eastAsiaTheme="minorEastAsia" w:hAnsiTheme="minorHAnsi" w:cstheme="minorBidi"/>
          <w:b w:val="0"/>
          <w:bCs w:val="0"/>
          <w:color w:val="auto"/>
          <w:sz w:val="22"/>
          <w:szCs w:val="22"/>
        </w:rPr>
        <w:t>Lightcast</w:t>
      </w:r>
      <w:proofErr w:type="spellEnd"/>
      <w:r w:rsidRPr="004220E4">
        <w:rPr>
          <w:rFonts w:asciiTheme="minorHAnsi" w:eastAsiaTheme="minorEastAsia" w:hAnsiTheme="minorHAnsi" w:cstheme="minorBidi"/>
          <w:b w:val="0"/>
          <w:bCs w:val="0"/>
          <w:color w:val="auto"/>
          <w:sz w:val="22"/>
          <w:szCs w:val="22"/>
        </w:rPr>
        <w:t xml:space="preserve"> employment data. Occupation-level exposure estimates were then assigned by distributing reported layoffs across six-digit SOC occupations according to the employer's industry-specific occupational composition. </w:t>
      </w:r>
    </w:p>
    <w:p w14:paraId="1D9299B8" w14:textId="77777777" w:rsidR="004220E4" w:rsidRDefault="004220E4" w:rsidP="004220E4">
      <w:pPr>
        <w:pStyle w:val="Heading2"/>
        <w:rPr>
          <w:rFonts w:asciiTheme="minorHAnsi" w:eastAsiaTheme="minorEastAsia" w:hAnsiTheme="minorHAnsi" w:cstheme="minorBidi"/>
          <w:b w:val="0"/>
          <w:bCs w:val="0"/>
          <w:color w:val="auto"/>
          <w:sz w:val="22"/>
          <w:szCs w:val="22"/>
        </w:rPr>
      </w:pPr>
      <w:r w:rsidRPr="004220E4">
        <w:rPr>
          <w:rFonts w:asciiTheme="minorHAnsi" w:eastAsiaTheme="minorEastAsia" w:hAnsiTheme="minorHAnsi" w:cstheme="minorBidi"/>
          <w:b w:val="0"/>
          <w:bCs w:val="0"/>
          <w:color w:val="auto"/>
          <w:sz w:val="22"/>
          <w:szCs w:val="22"/>
        </w:rPr>
        <w:t>Occupation-level layoff exposure estimates were aggregated across all observed events and standardized to create the Layoff Risk Index. Unlike the Synthetic Control Method, which measures realized divergence from expected employment or job posting trends, the Layoff Risk Index captures direct evidence of workforce reductions reported by employers. As a result, the index provides an additional signal of occupational vulnerability and may identify emerging displacement risks before they are fully reflected in employment or job posting data.</w:t>
      </w:r>
    </w:p>
    <w:p w14:paraId="40B1A243" w14:textId="2996D2E4" w:rsidR="00AB43E0" w:rsidRDefault="00157E66" w:rsidP="004220E4">
      <w:pPr>
        <w:pStyle w:val="Heading2"/>
      </w:pPr>
      <w:r>
        <w:t xml:space="preserve">Hybrid Risk Model </w:t>
      </w:r>
    </w:p>
    <w:p w14:paraId="477AD064" w14:textId="17687BB4" w:rsidR="00157E66" w:rsidRDefault="00000000">
      <w:r>
        <w:t>The final framework combines theoretical exposure, displacement signals, layoff risk, and adaptive capacity</w:t>
      </w:r>
      <w:r w:rsidR="00D94868">
        <w:t xml:space="preserve"> using a multiplicative-additive framework. </w:t>
      </w:r>
      <w:r>
        <w:br/>
      </w:r>
      <w:r>
        <w:br/>
        <w:t xml:space="preserve">First, employment SCM effects and job posting SCM effects are combined using inverse Root </w:t>
      </w:r>
      <w:r>
        <w:lastRenderedPageBreak/>
        <w:t>Mean Squared Prediction Error (RMSPE) weighting. Models with lower prediction error receive greater influence in the combined displacement estimate.</w:t>
      </w:r>
      <w:r>
        <w:br/>
      </w:r>
      <w:r>
        <w:br/>
        <w:t>The combined displacement signal is then integrated with the Layoff Risk Index to produce a unified displacement measure.</w:t>
      </w:r>
      <w:r>
        <w:br/>
      </w:r>
      <w:r>
        <w:br/>
        <w:t>The methodology adopts a hybrid risk framework in which theoretical exposure serves as the baseline risk and displacement acts as an amplification mechanism. Occupations experiencing labor market deterioration are assigned higher risk only when exposure is also elevated.</w:t>
      </w:r>
      <w:r>
        <w:br/>
      </w:r>
      <w:r>
        <w:br/>
        <w:t>Conceptually:</w:t>
      </w:r>
      <w:r>
        <w:br/>
      </w:r>
      <w:r>
        <w:br/>
        <w:t>Hybrid Risk = Exposure + λ × (Exposure × Displacement)</w:t>
      </w:r>
      <w:r>
        <w:br/>
      </w:r>
      <w:r>
        <w:br/>
        <w:t xml:space="preserve">where λ </w:t>
      </w:r>
      <w:r w:rsidR="00D94868">
        <w:t>was set to .5 as the</w:t>
      </w:r>
      <w:r>
        <w:t xml:space="preserve"> amplification parameter.</w:t>
      </w:r>
      <w:r>
        <w:br/>
      </w:r>
      <w:r>
        <w:br/>
        <w:t>Adaptive capacity is subsequently applied as a resilience adjustment:</w:t>
      </w:r>
      <w:r>
        <w:br/>
      </w:r>
      <w:r>
        <w:br/>
        <w:t>Final Risk = Hybrid Risk × (1 − Adaptive Capacity)</w:t>
      </w:r>
      <w:r>
        <w:br/>
      </w:r>
      <w:r>
        <w:br/>
      </w:r>
      <w:r w:rsidR="00157E66">
        <w:t>Occupations were then separated into quintiles</w:t>
      </w:r>
      <w:r w:rsidR="00D94868">
        <w:t xml:space="preserve"> using the Final Risk</w:t>
      </w:r>
      <w:r w:rsidR="00157E66">
        <w:t xml:space="preserve"> to </w:t>
      </w:r>
      <w:r w:rsidR="00D94868">
        <w:t xml:space="preserve">establish the </w:t>
      </w:r>
      <w:r w:rsidR="00157E66">
        <w:t>AI Displacement Risk</w:t>
      </w:r>
      <w:r w:rsidR="00D94868">
        <w:t xml:space="preserve"> Score</w:t>
      </w:r>
      <w:r w:rsidR="00157E66">
        <w:t xml:space="preserve"> as “Very High”, “High”, “Medium”, “Low”, and “Very Low”.  </w:t>
      </w:r>
    </w:p>
    <w:p w14:paraId="79AAC512" w14:textId="2EE5F87E" w:rsidR="00AB43E0" w:rsidRDefault="00000000">
      <w:r>
        <w:t>This structure ensures that all occupations receive a baseline risk estimate while allowing empirical labor market evidence and worker resilience to meaningfully influence final rankings.</w:t>
      </w:r>
    </w:p>
    <w:p w14:paraId="2757307D" w14:textId="77777777" w:rsidR="00AB43E0" w:rsidRDefault="00000000">
      <w:pPr>
        <w:pStyle w:val="Heading2"/>
      </w:pPr>
      <w:r>
        <w:t>Occupational Transition Pathways</w:t>
      </w:r>
    </w:p>
    <w:p w14:paraId="35B41A4E" w14:textId="77777777" w:rsidR="00157E66" w:rsidRDefault="00000000">
      <w:r>
        <w:t>The Occupational Transition Pathways component translates risk estimates into actionable workforce strategies.</w:t>
      </w:r>
      <w:r>
        <w:br/>
      </w:r>
      <w:r>
        <w:br/>
        <w:t>For occupations classified as High or Very High Risk, related occupations are identified using O*NET related occupation relationships. Candidate occupations must exhibit lower AI risk levels than the source occupation and demonstrate sufficient occupational similarity.</w:t>
      </w:r>
      <w:r>
        <w:br/>
      </w:r>
      <w:r>
        <w:br/>
        <w:t xml:space="preserve">Transition pathways are ranked using a combination </w:t>
      </w:r>
      <w:proofErr w:type="spellStart"/>
      <w:r>
        <w:t>of:</w:t>
      </w:r>
      <w:proofErr w:type="spellEnd"/>
    </w:p>
    <w:p w14:paraId="4FD12BFF" w14:textId="77777777" w:rsidR="00157E66" w:rsidRDefault="00000000" w:rsidP="00157E66">
      <w:pPr>
        <w:pStyle w:val="ListParagraph"/>
        <w:numPr>
          <w:ilvl w:val="0"/>
          <w:numId w:val="13"/>
        </w:numPr>
      </w:pPr>
      <w:r>
        <w:t>Occupational similarity</w:t>
      </w:r>
    </w:p>
    <w:p w14:paraId="25EB1DF2" w14:textId="77777777" w:rsidR="00157E66" w:rsidRDefault="00000000" w:rsidP="00157E66">
      <w:pPr>
        <w:pStyle w:val="ListParagraph"/>
        <w:numPr>
          <w:ilvl w:val="0"/>
          <w:numId w:val="13"/>
        </w:numPr>
      </w:pPr>
      <w:r>
        <w:t>Reduction in AI displacement risk</w:t>
      </w:r>
    </w:p>
    <w:p w14:paraId="0A3230B5" w14:textId="77777777" w:rsidR="00157E66" w:rsidRDefault="00000000" w:rsidP="00157E66">
      <w:pPr>
        <w:pStyle w:val="ListParagraph"/>
        <w:numPr>
          <w:ilvl w:val="0"/>
          <w:numId w:val="13"/>
        </w:numPr>
      </w:pPr>
      <w:r>
        <w:t>Wage preservation</w:t>
      </w:r>
    </w:p>
    <w:p w14:paraId="6AD05177" w14:textId="245B98F5" w:rsidR="00157E66" w:rsidRDefault="00000000" w:rsidP="00157E66">
      <w:pPr>
        <w:pStyle w:val="ListParagraph"/>
        <w:numPr>
          <w:ilvl w:val="0"/>
          <w:numId w:val="13"/>
        </w:numPr>
      </w:pPr>
      <w:r>
        <w:t>Educational feasibility</w:t>
      </w:r>
    </w:p>
    <w:p w14:paraId="4750D4D1" w14:textId="77777777" w:rsidR="00157E66" w:rsidRDefault="00000000" w:rsidP="00157E66">
      <w:r>
        <w:lastRenderedPageBreak/>
        <w:t>Occupational similarity serves as the primary ranking factor because realistic transitions require substantial overlap in skills, work activities, and knowledge domains.</w:t>
      </w:r>
      <w:r>
        <w:br/>
      </w:r>
      <w:r>
        <w:br/>
        <w:t>To support implementation, occupations are linked to education and training opportunities using CIP-SOC crosswalks and training provider datasets. This allows workers and workforce practitioners to identify relevant certificates, apprenticeships, associate degrees, and other educational programs aligned with lower-risk occupations.</w:t>
      </w:r>
      <w:r>
        <w:br/>
      </w:r>
      <w:r>
        <w:br/>
        <w:t>The transition framework therefore addresses three questions simultaneously:</w:t>
      </w:r>
    </w:p>
    <w:p w14:paraId="5CF1BCF6" w14:textId="77777777" w:rsidR="00157E66" w:rsidRDefault="00000000" w:rsidP="00157E66">
      <w:pPr>
        <w:pStyle w:val="ListParagraph"/>
        <w:numPr>
          <w:ilvl w:val="0"/>
          <w:numId w:val="14"/>
        </w:numPr>
      </w:pPr>
      <w:r>
        <w:t>Which occupations face elevated AI displacement risk?</w:t>
      </w:r>
    </w:p>
    <w:p w14:paraId="09C9641E" w14:textId="77777777" w:rsidR="00157E66" w:rsidRDefault="00000000" w:rsidP="00157E66">
      <w:pPr>
        <w:pStyle w:val="ListParagraph"/>
        <w:numPr>
          <w:ilvl w:val="0"/>
          <w:numId w:val="14"/>
        </w:numPr>
      </w:pPr>
      <w:r>
        <w:t>Which lower-risk occupations represent realistic alternatives?</w:t>
      </w:r>
    </w:p>
    <w:p w14:paraId="56EBE2EE" w14:textId="7458B29F" w:rsidR="00AB43E0" w:rsidRDefault="00000000" w:rsidP="00157E66">
      <w:pPr>
        <w:pStyle w:val="ListParagraph"/>
        <w:numPr>
          <w:ilvl w:val="0"/>
          <w:numId w:val="14"/>
        </w:numPr>
      </w:pPr>
      <w:r>
        <w:t>What education or training pathways support the transition?</w:t>
      </w:r>
    </w:p>
    <w:p w14:paraId="326DB527" w14:textId="77777777" w:rsidR="00AB43E0" w:rsidRDefault="00000000">
      <w:pPr>
        <w:pStyle w:val="Heading2"/>
      </w:pPr>
      <w:r>
        <w:t>Limitations and Interpretation</w:t>
      </w:r>
    </w:p>
    <w:p w14:paraId="35CB7A33" w14:textId="77777777" w:rsidR="00AB43E0" w:rsidRDefault="00000000">
      <w:r>
        <w:t>The AI Displacement Risk Score should be interpreted as a relative measure of occupational vulnerability rather than a prediction of future job loss. The framework combines theoretical estimates, observed labor market signals, and worker resilience measures to identify occupations that may warrant additional monitoring, workforce investment, or reskilling support.</w:t>
      </w:r>
      <w:r>
        <w:br/>
      </w:r>
      <w:r>
        <w:br/>
        <w:t>Because AI capabilities, labor markets, and occupational structures continue to evolve, estimates should be viewed as decision-support tools rather than deterministic forecasts. Future updates may incorporate additional AI exposure measures, labor market indicators, and occupational transition evidence as new data become available.</w:t>
      </w:r>
    </w:p>
    <w:p w14:paraId="5A1BD8FB" w14:textId="77777777" w:rsidR="00AB43E0" w:rsidRDefault="00000000">
      <w:pPr>
        <w:pStyle w:val="Heading2"/>
      </w:pPr>
      <w:r>
        <w:t>References</w:t>
      </w:r>
    </w:p>
    <w:p w14:paraId="788D7959" w14:textId="41A179C6" w:rsidR="00951DB1" w:rsidRDefault="00000000" w:rsidP="00951DB1">
      <w:r>
        <w:br/>
        <w:t>Abadie, A., Diamond, A., &amp; Hainmueller, J. (2010). Synthetic Control Methods for Comparative Case Studies.</w:t>
      </w:r>
      <w:r>
        <w:br/>
      </w:r>
      <w:r>
        <w:br/>
        <w:t>Eloundou, T., Manning, S., Mishkin, P., &amp; Rock, D. (2024). GPTs are GPTs: An Early Look at the Labor Market Impact Potential of Large Language Models.</w:t>
      </w:r>
      <w:r>
        <w:br/>
      </w:r>
      <w:r>
        <w:br/>
        <w:t>Eisfeldt, A., Schubert, G., &amp; Zhang, M. (2023). Generative AI and Labor Market Exposure.</w:t>
      </w:r>
      <w:r>
        <w:br/>
      </w:r>
      <w:r>
        <w:br/>
        <w:t>Felten, E., Raj, M., &amp; Seamans, R. (2021). Occupational, Industry, and Geographic Exposure to Artificial Intelligence.</w:t>
      </w:r>
    </w:p>
    <w:p w14:paraId="5F470B4D" w14:textId="77777777" w:rsidR="00951DB1" w:rsidRDefault="00951DB1" w:rsidP="00951DB1">
      <w:r>
        <w:t xml:space="preserve">Gimbel, M., Kendall, J., &amp; </w:t>
      </w:r>
      <w:proofErr w:type="spellStart"/>
      <w:r>
        <w:t>Kulsakdinun</w:t>
      </w:r>
      <w:proofErr w:type="spellEnd"/>
      <w:r>
        <w:t xml:space="preserve">, R. (2026, February 19). Labor market AI exposure: What do we know? The Budget Lab at Yale. </w:t>
      </w:r>
      <w:hyperlink r:id="rId12" w:history="1">
        <w:r w:rsidRPr="002640AC">
          <w:rPr>
            <w:rStyle w:val="Hyperlink"/>
          </w:rPr>
          <w:t>https://budgetlab.yale.edu/research/labor-market-ai-exposure-what-do-we-know</w:t>
        </w:r>
      </w:hyperlink>
    </w:p>
    <w:p w14:paraId="29ABFD0D" w14:textId="38809CB6" w:rsidR="00951DB1" w:rsidRDefault="00951DB1" w:rsidP="00951DB1">
      <w:proofErr w:type="spellStart"/>
      <w:r>
        <w:lastRenderedPageBreak/>
        <w:t>Lightcast</w:t>
      </w:r>
      <w:proofErr w:type="spellEnd"/>
      <w:r>
        <w:t xml:space="preserve">. (2023, May 23). </w:t>
      </w:r>
      <w:proofErr w:type="spellStart"/>
      <w:r>
        <w:t>Lightcast</w:t>
      </w:r>
      <w:proofErr w:type="spellEnd"/>
      <w:r>
        <w:t xml:space="preserve"> OES time series data overview. </w:t>
      </w:r>
      <w:proofErr w:type="spellStart"/>
      <w:r>
        <w:t>Lightcast</w:t>
      </w:r>
      <w:proofErr w:type="spellEnd"/>
      <w:r>
        <w:t xml:space="preserve"> Knowledge Base. </w:t>
      </w:r>
      <w:hyperlink r:id="rId13" w:history="1">
        <w:r w:rsidRPr="002640AC">
          <w:rPr>
            <w:rStyle w:val="Hyperlink"/>
          </w:rPr>
          <w:t>https://kb.lightcast.io/en/articles/6957515-lightcast-oes-time-series-data-overview</w:t>
        </w:r>
      </w:hyperlink>
      <w:r>
        <w:t xml:space="preserve"> </w:t>
      </w:r>
    </w:p>
    <w:p w14:paraId="09C7FC92" w14:textId="438980DC" w:rsidR="00951DB1" w:rsidRDefault="00000000" w:rsidP="00951DB1">
      <w:r>
        <w:t>Manning, S., &amp; Aguirre, T. (2025). How Adaptable Are American Workers to AI-Induced Job Displacement?</w:t>
      </w:r>
      <w:r>
        <w:br/>
      </w:r>
      <w:r>
        <w:br/>
      </w:r>
    </w:p>
    <w:p w14:paraId="58311978" w14:textId="77777777" w:rsidR="00951DB1" w:rsidRDefault="00951DB1" w:rsidP="00951DB1">
      <w:r>
        <w:t>National Center for ONET Development. (2026). ONET® 30.3 database. O*NET Resource Center. Retrieved May 30, 2026, from https://www.onetcenter.org/database.html</w:t>
      </w:r>
    </w:p>
    <w:p w14:paraId="796008F2" w14:textId="59084AF9" w:rsidR="00AB43E0" w:rsidRDefault="00AB43E0" w:rsidP="00951DB1"/>
    <w:sectPr w:rsidR="00AB43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583413"/>
    <w:multiLevelType w:val="hybridMultilevel"/>
    <w:tmpl w:val="D2F0B9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E2144A"/>
    <w:multiLevelType w:val="hybridMultilevel"/>
    <w:tmpl w:val="F9F86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13568B"/>
    <w:multiLevelType w:val="hybridMultilevel"/>
    <w:tmpl w:val="C9346B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0C529A"/>
    <w:multiLevelType w:val="hybridMultilevel"/>
    <w:tmpl w:val="44C6B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401765"/>
    <w:multiLevelType w:val="hybridMultilevel"/>
    <w:tmpl w:val="7FD46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0640708">
    <w:abstractNumId w:val="8"/>
  </w:num>
  <w:num w:numId="2" w16cid:durableId="1120760536">
    <w:abstractNumId w:val="6"/>
  </w:num>
  <w:num w:numId="3" w16cid:durableId="710425810">
    <w:abstractNumId w:val="5"/>
  </w:num>
  <w:num w:numId="4" w16cid:durableId="1092775340">
    <w:abstractNumId w:val="4"/>
  </w:num>
  <w:num w:numId="5" w16cid:durableId="796727193">
    <w:abstractNumId w:val="7"/>
  </w:num>
  <w:num w:numId="6" w16cid:durableId="1852603801">
    <w:abstractNumId w:val="3"/>
  </w:num>
  <w:num w:numId="7" w16cid:durableId="869495607">
    <w:abstractNumId w:val="2"/>
  </w:num>
  <w:num w:numId="8" w16cid:durableId="296837737">
    <w:abstractNumId w:val="1"/>
  </w:num>
  <w:num w:numId="9" w16cid:durableId="75171017">
    <w:abstractNumId w:val="0"/>
  </w:num>
  <w:num w:numId="10" w16cid:durableId="1503206622">
    <w:abstractNumId w:val="10"/>
  </w:num>
  <w:num w:numId="11" w16cid:durableId="631325351">
    <w:abstractNumId w:val="12"/>
  </w:num>
  <w:num w:numId="12" w16cid:durableId="1409959034">
    <w:abstractNumId w:val="11"/>
  </w:num>
  <w:num w:numId="13" w16cid:durableId="1851485820">
    <w:abstractNumId w:val="13"/>
  </w:num>
  <w:num w:numId="14" w16cid:durableId="10216643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EC6"/>
    <w:rsid w:val="0015074B"/>
    <w:rsid w:val="00157E66"/>
    <w:rsid w:val="0029639D"/>
    <w:rsid w:val="00326F90"/>
    <w:rsid w:val="004220E4"/>
    <w:rsid w:val="00432AF2"/>
    <w:rsid w:val="00623EB7"/>
    <w:rsid w:val="00951DB1"/>
    <w:rsid w:val="00AA1D8D"/>
    <w:rsid w:val="00AB43E0"/>
    <w:rsid w:val="00B47730"/>
    <w:rsid w:val="00CB0664"/>
    <w:rsid w:val="00D94868"/>
    <w:rsid w:val="00E429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F7D237"/>
  <w14:defaultImageDpi w14:val="300"/>
  <w15:docId w15:val="{ADFCF81C-6CAC-EF43-BCA7-55F173E14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51DB1"/>
    <w:rPr>
      <w:color w:val="0000FF" w:themeColor="hyperlink"/>
      <w:u w:val="single"/>
    </w:rPr>
  </w:style>
  <w:style w:type="character" w:styleId="UnresolvedMention">
    <w:name w:val="Unresolved Mention"/>
    <w:basedOn w:val="DefaultParagraphFont"/>
    <w:uiPriority w:val="99"/>
    <w:semiHidden/>
    <w:unhideWhenUsed/>
    <w:rsid w:val="00951D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ber.org/system/files/working_papers/w31222/w31222.pdf" TargetMode="External"/><Relationship Id="rId13" Type="http://schemas.openxmlformats.org/officeDocument/2006/relationships/hyperlink" Target="https://kb.lightcast.io/en/articles/6957515-lightcast-oes-time-series-data-overview" TargetMode="External"/><Relationship Id="rId3" Type="http://schemas.openxmlformats.org/officeDocument/2006/relationships/styles" Target="styles.xml"/><Relationship Id="rId7" Type="http://schemas.openxmlformats.org/officeDocument/2006/relationships/hyperlink" Target="https://arxiv.org/pdf/2303.10130" TargetMode="External"/><Relationship Id="rId12" Type="http://schemas.openxmlformats.org/officeDocument/2006/relationships/hyperlink" Target="https://budgetlab.yale.edu/research/labor-market-ai-exposure-what-do-we-know"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rxiv.org/pdf/2303.10130" TargetMode="External"/><Relationship Id="rId11" Type="http://schemas.openxmlformats.org/officeDocument/2006/relationships/hyperlink" Target="https://arxiv.org/pdf/2507.07935"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ms.onlinelibrary.wiley.com/doi/full/10.1002/smj.3286" TargetMode="External"/><Relationship Id="rId4" Type="http://schemas.openxmlformats.org/officeDocument/2006/relationships/settings" Target="settings.xml"/><Relationship Id="rId9" Type="http://schemas.openxmlformats.org/officeDocument/2006/relationships/hyperlink" Target="https://www.nber.org/system/files/working_papers/w31222/w31222.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2144</Words>
  <Characters>12224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Ferris A Ramadan</cp:lastModifiedBy>
  <cp:revision>2</cp:revision>
  <dcterms:created xsi:type="dcterms:W3CDTF">2026-05-30T18:49:00Z</dcterms:created>
  <dcterms:modified xsi:type="dcterms:W3CDTF">2026-05-30T18:49:00Z</dcterms:modified>
  <cp:category/>
</cp:coreProperties>
</file>