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27649" w14:textId="3048744F" w:rsidR="00AE3DC0" w:rsidRPr="00AE3DC0" w:rsidRDefault="00AE3DC0" w:rsidP="00AE3DC0">
      <w:pPr>
        <w:pStyle w:val="Heading1"/>
      </w:pPr>
      <w:r>
        <w:t>Overview</w:t>
      </w:r>
    </w:p>
    <w:p w14:paraId="38961A97" w14:textId="75F02596" w:rsidR="00AE3DC0" w:rsidRPr="00AE3DC0" w:rsidRDefault="00AE3DC0" w:rsidP="00AE3DC0">
      <w:pPr>
        <w:pStyle w:val="Heading2"/>
      </w:pPr>
      <w:r w:rsidRPr="00AE3DC0">
        <w:t xml:space="preserve">AI Risk </w:t>
      </w:r>
    </w:p>
    <w:p w14:paraId="6B653615" w14:textId="77777777" w:rsidR="00080295" w:rsidRDefault="00AE3DC0" w:rsidP="00AE3DC0">
      <w:r>
        <w:t>This resource provides an AI Risk score for each Standard Occupational Classification (SOC) code, grouped into five categories: Very High, High, Medium, Low, and Very Low exposure. Occupations with tasks that are repetitive, rules-based, or language-intensive tend to have higher exposure, while those requiring physical skills, in-person interaction, or complex decision-making tend to have lower exposure.</w:t>
      </w:r>
      <w:r w:rsidR="00080295">
        <w:t xml:space="preserve"> </w:t>
      </w:r>
      <w:r>
        <w:t>Unlike traditional measures, AI Risk combines three dimensions: (1) theoretical task-based exposure, (2) adaptive capacity, and (3) real-world labor market trends</w:t>
      </w:r>
      <w:r w:rsidR="00080295">
        <w:t xml:space="preserve"> (Figure 1)</w:t>
      </w:r>
      <w:r>
        <w:t>.</w:t>
      </w:r>
    </w:p>
    <w:p w14:paraId="51014889" w14:textId="66A80E14" w:rsidR="00080295" w:rsidRDefault="00080295" w:rsidP="00080295">
      <w:pPr>
        <w:jc w:val="center"/>
      </w:pPr>
      <w:r w:rsidRPr="00080295">
        <w:rPr>
          <w:noProof/>
        </w:rPr>
        <w:drawing>
          <wp:inline distT="0" distB="0" distL="0" distR="0" wp14:anchorId="68D57793" wp14:editId="30BD3BB3">
            <wp:extent cx="3937031" cy="2430780"/>
            <wp:effectExtent l="0" t="0" r="0" b="0"/>
            <wp:docPr id="2137501993" name="Picture 1" descr="Diagram,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501993" name="Picture 1" descr="Diagram, text&#10;&#10;AI-generated content may be incorrect."/>
                    <pic:cNvPicPr/>
                  </pic:nvPicPr>
                  <pic:blipFill>
                    <a:blip r:embed="rId5"/>
                    <a:stretch>
                      <a:fillRect/>
                    </a:stretch>
                  </pic:blipFill>
                  <pic:spPr>
                    <a:xfrm>
                      <a:off x="0" y="0"/>
                      <a:ext cx="3944296" cy="2435266"/>
                    </a:xfrm>
                    <a:prstGeom prst="rect">
                      <a:avLst/>
                    </a:prstGeom>
                  </pic:spPr>
                </pic:pic>
              </a:graphicData>
            </a:graphic>
          </wp:inline>
        </w:drawing>
      </w:r>
    </w:p>
    <w:p w14:paraId="6A6B384B" w14:textId="19310847" w:rsidR="00080295" w:rsidRDefault="00080295" w:rsidP="00080295">
      <w:pPr>
        <w:jc w:val="center"/>
      </w:pPr>
      <w:r>
        <w:t>Figure 1. Occupational AI Risk Dimensions</w:t>
      </w:r>
    </w:p>
    <w:p w14:paraId="04463CD8" w14:textId="34F25DB2" w:rsidR="00AE3DC0" w:rsidRDefault="00AE3DC0" w:rsidP="00AE3DC0">
      <w:r>
        <w:t xml:space="preserve">This approach reflects research showing that no single measure fully captures AI’s impact on jobs. By incorporating worker characteristics (such as skill transferability) alongside observed changes in employment and job postings, AI Risk provides a more complete and practical view of how occupations may be affected by AI. </w:t>
      </w:r>
    </w:p>
    <w:p w14:paraId="10ECC325" w14:textId="7200538E" w:rsidR="00AE3DC0" w:rsidRDefault="00AE3DC0" w:rsidP="00AE3DC0">
      <w:pPr>
        <w:pStyle w:val="Heading2"/>
      </w:pPr>
      <w:r>
        <w:t>Occupational Transition</w:t>
      </w:r>
    </w:p>
    <w:p w14:paraId="48DD6675" w14:textId="13D2F56A" w:rsidR="00AE3DC0" w:rsidRDefault="00AE3DC0" w:rsidP="00AE3DC0">
      <w:r>
        <w:t>occupations with high AI exposure are connected to related occupations with lower exposure to help users explore potential career transitions. Rather than treating occupations in isolation, the approach leverages relationships between occupations to identify feasible pathways into roles that are less susceptible to AI-driven disruption.</w:t>
      </w:r>
    </w:p>
    <w:p w14:paraId="362795CB" w14:textId="1F1D9AA8" w:rsidR="00AE3DC0" w:rsidRDefault="00AE3DC0" w:rsidP="00AE3DC0">
      <w:r>
        <w:t xml:space="preserve">For each high-exposure occupation, we surface a curated set of related occupations with lower or moderate exposure levels. We then link these occupations to relevant education </w:t>
      </w:r>
      <w:r>
        <w:lastRenderedPageBreak/>
        <w:t xml:space="preserve">and training programs, allowing users to understand not only where they could transition, but also how to get there. </w:t>
      </w:r>
    </w:p>
    <w:p w14:paraId="05A83081" w14:textId="17CE5ECF" w:rsidR="00AE3DC0" w:rsidRDefault="00AE3DC0" w:rsidP="00AE3DC0">
      <w:pPr>
        <w:pStyle w:val="Heading1"/>
      </w:pPr>
      <w:r>
        <w:t>Defining AI Risk</w:t>
      </w:r>
    </w:p>
    <w:p w14:paraId="7D570C98" w14:textId="7FF2792E" w:rsidR="00AE3DC0" w:rsidRDefault="00AE3DC0" w:rsidP="00AE3DC0">
      <w:pPr>
        <w:pStyle w:val="Heading2"/>
      </w:pPr>
      <w:r w:rsidRPr="00AE3DC0">
        <w:t>Theoretical Exposure</w:t>
      </w:r>
    </w:p>
    <w:p w14:paraId="44635E1D" w14:textId="77777777" w:rsidR="00AE3DC0" w:rsidRPr="00AE3DC0" w:rsidRDefault="00AE3DC0" w:rsidP="00AE3DC0">
      <w:pPr>
        <w:spacing w:before="100" w:beforeAutospacing="1" w:after="100" w:afterAutospacing="1" w:line="240" w:lineRule="auto"/>
        <w:rPr>
          <w:rFonts w:ascii="Times New Roman" w:eastAsia="Times New Roman" w:hAnsi="Times New Roman" w:cs="Times New Roman"/>
          <w:color w:val="000000"/>
          <w:kern w:val="0"/>
          <w14:ligatures w14:val="none"/>
        </w:rPr>
      </w:pPr>
      <w:r w:rsidRPr="00AE3DC0">
        <w:rPr>
          <w:rFonts w:ascii="Times New Roman" w:eastAsia="Times New Roman" w:hAnsi="Times New Roman" w:cs="Times New Roman"/>
          <w:color w:val="000000"/>
          <w:kern w:val="0"/>
          <w14:ligatures w14:val="none"/>
        </w:rPr>
        <w:t>Organizations including </w:t>
      </w:r>
      <w:r w:rsidRPr="00AE3DC0">
        <w:rPr>
          <w:rFonts w:ascii="Times New Roman" w:eastAsia="Times New Roman" w:hAnsi="Times New Roman" w:cs="Times New Roman"/>
          <w:b/>
          <w:bCs/>
          <w:color w:val="000000"/>
          <w:kern w:val="0"/>
          <w14:ligatures w14:val="none"/>
        </w:rPr>
        <w:t>O*NET</w:t>
      </w:r>
      <w:r w:rsidRPr="00AE3DC0">
        <w:rPr>
          <w:rFonts w:ascii="Times New Roman" w:eastAsia="Times New Roman" w:hAnsi="Times New Roman" w:cs="Times New Roman"/>
          <w:color w:val="000000"/>
          <w:kern w:val="0"/>
          <w14:ligatures w14:val="none"/>
        </w:rPr>
        <w:t xml:space="preserve">, the International </w:t>
      </w:r>
      <w:proofErr w:type="spellStart"/>
      <w:r w:rsidRPr="00AE3DC0">
        <w:rPr>
          <w:rFonts w:ascii="Times New Roman" w:eastAsia="Times New Roman" w:hAnsi="Times New Roman" w:cs="Times New Roman"/>
          <w:color w:val="000000"/>
          <w:kern w:val="0"/>
          <w14:ligatures w14:val="none"/>
        </w:rPr>
        <w:t>Labour</w:t>
      </w:r>
      <w:proofErr w:type="spellEnd"/>
      <w:r w:rsidRPr="00AE3DC0">
        <w:rPr>
          <w:rFonts w:ascii="Times New Roman" w:eastAsia="Times New Roman" w:hAnsi="Times New Roman" w:cs="Times New Roman"/>
          <w:color w:val="000000"/>
          <w:kern w:val="0"/>
          <w14:ligatures w14:val="none"/>
        </w:rPr>
        <w:t xml:space="preserve"> Organization, Anthropic, and academic researchers have developed independent measures of occupational AI exposure. One of the most widely used is from Tyna Eloundou et al., which estimates how much generative AI can accelerate task completion. However, multiple alternative measures exist, each capturing different dimensions of exposure.</w:t>
      </w:r>
    </w:p>
    <w:p w14:paraId="331E663D" w14:textId="1E4217AB" w:rsidR="00AE3DC0" w:rsidRPr="00AE3DC0" w:rsidRDefault="00AE3DC0" w:rsidP="00AE3DC0">
      <w:pPr>
        <w:spacing w:before="100" w:beforeAutospacing="1" w:after="100" w:afterAutospacing="1" w:line="240" w:lineRule="auto"/>
        <w:rPr>
          <w:rFonts w:ascii="Times New Roman" w:eastAsia="Times New Roman" w:hAnsi="Times New Roman" w:cs="Times New Roman"/>
          <w:color w:val="000000"/>
          <w:kern w:val="0"/>
          <w14:ligatures w14:val="none"/>
        </w:rPr>
      </w:pPr>
      <w:r w:rsidRPr="00AE3DC0">
        <w:rPr>
          <w:rFonts w:ascii="Times New Roman" w:eastAsia="Times New Roman" w:hAnsi="Times New Roman" w:cs="Times New Roman"/>
          <w:color w:val="000000"/>
          <w:kern w:val="0"/>
          <w14:ligatures w14:val="none"/>
        </w:rPr>
        <w:t xml:space="preserve">Research from the Yale Budget Lab shows that while these measures tend to align for low-exposure occupations, they diverge substantially for highly exposed roles. For example, one metric may identify web developers as most at risk, while another highlights </w:t>
      </w:r>
      <w:proofErr w:type="gramStart"/>
      <w:r w:rsidRPr="00AE3DC0">
        <w:rPr>
          <w:rFonts w:ascii="Times New Roman" w:eastAsia="Times New Roman" w:hAnsi="Times New Roman" w:cs="Times New Roman"/>
          <w:color w:val="000000"/>
          <w:kern w:val="0"/>
          <w14:ligatures w14:val="none"/>
        </w:rPr>
        <w:t>telemarketers</w:t>
      </w:r>
      <w:proofErr w:type="gramEnd"/>
      <w:r w:rsidR="00035BE7">
        <w:rPr>
          <w:rFonts w:ascii="Times New Roman" w:eastAsia="Times New Roman" w:hAnsi="Times New Roman" w:cs="Times New Roman"/>
          <w:color w:val="000000"/>
          <w:kern w:val="0"/>
          <w14:ligatures w14:val="none"/>
        </w:rPr>
        <w:t xml:space="preserve">, </w:t>
      </w:r>
      <w:r w:rsidRPr="00AE3DC0">
        <w:rPr>
          <w:rFonts w:ascii="Times New Roman" w:eastAsia="Times New Roman" w:hAnsi="Times New Roman" w:cs="Times New Roman"/>
          <w:color w:val="000000"/>
          <w:kern w:val="0"/>
          <w14:ligatures w14:val="none"/>
        </w:rPr>
        <w:t>reflecting differences in how exposure is defined. This variability underscores a key limitation: theoretical exposure alone does not indicate where displacement will occur, how large the effects will be, or how quickly they may materialize.</w:t>
      </w:r>
    </w:p>
    <w:p w14:paraId="3044F49F" w14:textId="77777777" w:rsidR="00AE3DC0" w:rsidRPr="00AE3DC0" w:rsidRDefault="00AE3DC0" w:rsidP="00AE3DC0">
      <w:pPr>
        <w:spacing w:before="100" w:beforeAutospacing="1" w:after="100" w:afterAutospacing="1" w:line="240" w:lineRule="auto"/>
        <w:rPr>
          <w:rFonts w:ascii="Times New Roman" w:eastAsia="Times New Roman" w:hAnsi="Times New Roman" w:cs="Times New Roman"/>
          <w:color w:val="000000"/>
          <w:kern w:val="0"/>
          <w14:ligatures w14:val="none"/>
        </w:rPr>
      </w:pPr>
      <w:r w:rsidRPr="00AE3DC0">
        <w:rPr>
          <w:rFonts w:ascii="Times New Roman" w:eastAsia="Times New Roman" w:hAnsi="Times New Roman" w:cs="Times New Roman"/>
          <w:color w:val="000000"/>
          <w:kern w:val="0"/>
          <w14:ligatures w14:val="none"/>
        </w:rPr>
        <w:t>To address this, we adopt a hybrid approach inspired by the Yale Budget Lab, combining multiple exposure measures into a single index using </w:t>
      </w:r>
      <w:r w:rsidRPr="00AE3DC0">
        <w:rPr>
          <w:rFonts w:ascii="Times New Roman" w:eastAsia="Times New Roman" w:hAnsi="Times New Roman" w:cs="Times New Roman"/>
          <w:b/>
          <w:bCs/>
          <w:color w:val="000000"/>
          <w:kern w:val="0"/>
          <w14:ligatures w14:val="none"/>
        </w:rPr>
        <w:t>principal component analysis (PCA)</w:t>
      </w:r>
      <w:r w:rsidRPr="00AE3DC0">
        <w:rPr>
          <w:rFonts w:ascii="Times New Roman" w:eastAsia="Times New Roman" w:hAnsi="Times New Roman" w:cs="Times New Roman"/>
          <w:color w:val="000000"/>
          <w:kern w:val="0"/>
          <w14:ligatures w14:val="none"/>
        </w:rPr>
        <w:t>. Conceptually, PCA extracts the shared signal across measures by identifying a weighted combination that explains the greatest common variation. If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k</m:t>
            </m:r>
          </m:sub>
        </m:sSub>
      </m:oMath>
      <w:r w:rsidRPr="00AE3DC0">
        <w:rPr>
          <w:rFonts w:ascii="Times New Roman" w:eastAsia="Times New Roman" w:hAnsi="Times New Roman" w:cs="Times New Roman"/>
          <w:color w:val="000000"/>
          <w:kern w:val="0"/>
          <w14:ligatures w14:val="none"/>
        </w:rPr>
        <w:t>represent standardized exposure measures, the composite index is:</w:t>
      </w:r>
    </w:p>
    <w:p w14:paraId="60695605" w14:textId="091747E4" w:rsidR="00AE3DC0" w:rsidRPr="00AE3DC0" w:rsidRDefault="00AE3DC0" w:rsidP="00AE3DC0">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P</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1</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2</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k</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k</m:t>
              </m:r>
            </m:sub>
          </m:sSub>
        </m:oMath>
      </m:oMathPara>
    </w:p>
    <w:p w14:paraId="4415EAFD" w14:textId="41A2D92C" w:rsidR="00AE3DC0" w:rsidRPr="00AE3DC0" w:rsidRDefault="00AE3DC0" w:rsidP="00AE3DC0">
      <w:pPr>
        <w:spacing w:before="100" w:beforeAutospacing="1" w:after="100" w:afterAutospacing="1" w:line="240" w:lineRule="auto"/>
        <w:rPr>
          <w:rFonts w:ascii="Times New Roman" w:eastAsia="Times New Roman" w:hAnsi="Times New Roman" w:cs="Times New Roman"/>
          <w:color w:val="000000"/>
          <w:kern w:val="0"/>
          <w14:ligatures w14:val="none"/>
        </w:rPr>
      </w:pPr>
      <w:r w:rsidRPr="00AE3DC0">
        <w:rPr>
          <w:rFonts w:ascii="Times New Roman" w:eastAsia="Times New Roman" w:hAnsi="Times New Roman" w:cs="Times New Roman"/>
          <w:color w:val="000000"/>
          <w:kern w:val="0"/>
          <w14:ligatures w14:val="none"/>
        </w:rPr>
        <w:t>where weights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j</m:t>
            </m:r>
          </m:sub>
        </m:sSub>
      </m:oMath>
      <w:r w:rsidRPr="00AE3DC0">
        <w:rPr>
          <w:rFonts w:ascii="Times New Roman" w:eastAsia="Times New Roman" w:hAnsi="Times New Roman" w:cs="Times New Roman"/>
          <w:color w:val="000000"/>
          <w:kern w:val="0"/>
          <w14:ligatures w14:val="none"/>
        </w:rPr>
        <w:t> are chosen to maximize explained variance. This produces a more stable, consensus-based estimate of exposure.</w:t>
      </w:r>
      <w:r>
        <w:rPr>
          <w:rFonts w:ascii="Times New Roman" w:eastAsia="Times New Roman" w:hAnsi="Times New Roman" w:cs="Times New Roman"/>
          <w:color w:val="000000"/>
          <w:kern w:val="0"/>
          <w14:ligatures w14:val="none"/>
        </w:rPr>
        <w:t xml:space="preserve"> A complete list of selected AI measures and PCA weights are provided in Table 1. </w:t>
      </w:r>
    </w:p>
    <w:p w14:paraId="307541DC" w14:textId="468C2E18" w:rsidR="00AE3DC0" w:rsidRDefault="00AE3DC0" w:rsidP="00AE3DC0">
      <w:pPr>
        <w:jc w:val="center"/>
      </w:pPr>
      <w:r>
        <w:t>Table 1. AI Measures and Associated Principal Component Weights</w:t>
      </w:r>
    </w:p>
    <w:tbl>
      <w:tblPr>
        <w:tblW w:w="9978" w:type="dxa"/>
        <w:tblLook w:val="04A0" w:firstRow="1" w:lastRow="0" w:firstColumn="1" w:lastColumn="0" w:noHBand="0" w:noVBand="1"/>
      </w:tblPr>
      <w:tblGrid>
        <w:gridCol w:w="2115"/>
        <w:gridCol w:w="2086"/>
        <w:gridCol w:w="2561"/>
        <w:gridCol w:w="3216"/>
      </w:tblGrid>
      <w:tr w:rsidR="00AE3DC0" w:rsidRPr="00AE3DC0" w14:paraId="25601AF7" w14:textId="77777777" w:rsidTr="00AE3DC0">
        <w:trPr>
          <w:trHeight w:val="531"/>
        </w:trPr>
        <w:tc>
          <w:tcPr>
            <w:tcW w:w="2115" w:type="dxa"/>
            <w:tcBorders>
              <w:top w:val="nil"/>
              <w:left w:val="nil"/>
              <w:bottom w:val="single" w:sz="4" w:space="0" w:color="auto"/>
              <w:right w:val="nil"/>
            </w:tcBorders>
            <w:noWrap/>
            <w:vAlign w:val="bottom"/>
            <w:hideMark/>
          </w:tcPr>
          <w:p w14:paraId="061DE2F8" w14:textId="77777777" w:rsidR="00AE3DC0" w:rsidRPr="00AE3DC0" w:rsidRDefault="00AE3DC0" w:rsidP="00AE3DC0">
            <w:pPr>
              <w:spacing w:after="0" w:line="240" w:lineRule="auto"/>
              <w:jc w:val="center"/>
              <w:rPr>
                <w:rFonts w:ascii="Aptos Narrow" w:eastAsia="Times New Roman" w:hAnsi="Aptos Narrow" w:cs="Times New Roman"/>
                <w:b/>
                <w:bCs/>
                <w:color w:val="000000"/>
                <w:kern w:val="0"/>
                <w:sz w:val="22"/>
                <w:szCs w:val="22"/>
                <w14:ligatures w14:val="none"/>
              </w:rPr>
            </w:pPr>
            <w:r w:rsidRPr="00AE3DC0">
              <w:rPr>
                <w:rFonts w:ascii="Aptos Narrow" w:eastAsia="Times New Roman" w:hAnsi="Aptos Narrow" w:cs="Times New Roman"/>
                <w:b/>
                <w:bCs/>
                <w:color w:val="000000"/>
                <w:kern w:val="0"/>
                <w:sz w:val="22"/>
                <w:szCs w:val="22"/>
                <w14:ligatures w14:val="none"/>
              </w:rPr>
              <w:t>Metric</w:t>
            </w:r>
          </w:p>
        </w:tc>
        <w:tc>
          <w:tcPr>
            <w:tcW w:w="2086" w:type="dxa"/>
            <w:tcBorders>
              <w:top w:val="nil"/>
              <w:left w:val="nil"/>
              <w:bottom w:val="single" w:sz="4" w:space="0" w:color="auto"/>
              <w:right w:val="nil"/>
            </w:tcBorders>
            <w:noWrap/>
            <w:vAlign w:val="bottom"/>
            <w:hideMark/>
          </w:tcPr>
          <w:p w14:paraId="4398F52C" w14:textId="77777777" w:rsidR="00AE3DC0" w:rsidRPr="00AE3DC0" w:rsidRDefault="00AE3DC0" w:rsidP="00AE3DC0">
            <w:pPr>
              <w:spacing w:after="0" w:line="240" w:lineRule="auto"/>
              <w:jc w:val="center"/>
              <w:rPr>
                <w:rFonts w:ascii="Aptos Narrow" w:eastAsia="Times New Roman" w:hAnsi="Aptos Narrow" w:cs="Times New Roman"/>
                <w:b/>
                <w:bCs/>
                <w:color w:val="000000"/>
                <w:kern w:val="0"/>
                <w:sz w:val="22"/>
                <w:szCs w:val="22"/>
                <w14:ligatures w14:val="none"/>
              </w:rPr>
            </w:pPr>
            <w:r w:rsidRPr="00AE3DC0">
              <w:rPr>
                <w:rFonts w:ascii="Aptos Narrow" w:eastAsia="Times New Roman" w:hAnsi="Aptos Narrow" w:cs="Times New Roman"/>
                <w:b/>
                <w:bCs/>
                <w:color w:val="000000"/>
                <w:kern w:val="0"/>
                <w:sz w:val="22"/>
                <w:szCs w:val="22"/>
                <w14:ligatures w14:val="none"/>
              </w:rPr>
              <w:t>Source</w:t>
            </w:r>
          </w:p>
        </w:tc>
        <w:tc>
          <w:tcPr>
            <w:tcW w:w="2561" w:type="dxa"/>
            <w:tcBorders>
              <w:top w:val="nil"/>
              <w:left w:val="nil"/>
              <w:bottom w:val="single" w:sz="4" w:space="0" w:color="auto"/>
              <w:right w:val="nil"/>
            </w:tcBorders>
            <w:noWrap/>
            <w:vAlign w:val="bottom"/>
            <w:hideMark/>
          </w:tcPr>
          <w:p w14:paraId="5E0271D9" w14:textId="77777777" w:rsidR="00AE3DC0" w:rsidRPr="00AE3DC0" w:rsidRDefault="00AE3DC0" w:rsidP="00AE3DC0">
            <w:pPr>
              <w:spacing w:after="0" w:line="240" w:lineRule="auto"/>
              <w:jc w:val="center"/>
              <w:rPr>
                <w:rFonts w:ascii="Aptos Narrow" w:eastAsia="Times New Roman" w:hAnsi="Aptos Narrow" w:cs="Times New Roman"/>
                <w:b/>
                <w:bCs/>
                <w:color w:val="000000"/>
                <w:kern w:val="0"/>
                <w:sz w:val="22"/>
                <w:szCs w:val="22"/>
                <w14:ligatures w14:val="none"/>
              </w:rPr>
            </w:pPr>
            <w:r w:rsidRPr="00AE3DC0">
              <w:rPr>
                <w:rFonts w:ascii="Aptos Narrow" w:eastAsia="Times New Roman" w:hAnsi="Aptos Narrow" w:cs="Times New Roman"/>
                <w:b/>
                <w:bCs/>
                <w:color w:val="000000"/>
                <w:kern w:val="0"/>
                <w:sz w:val="22"/>
                <w:szCs w:val="22"/>
                <w14:ligatures w14:val="none"/>
              </w:rPr>
              <w:t>Measuring</w:t>
            </w:r>
          </w:p>
        </w:tc>
        <w:tc>
          <w:tcPr>
            <w:tcW w:w="3216" w:type="dxa"/>
            <w:tcBorders>
              <w:top w:val="nil"/>
              <w:left w:val="nil"/>
              <w:bottom w:val="single" w:sz="4" w:space="0" w:color="auto"/>
              <w:right w:val="nil"/>
            </w:tcBorders>
            <w:noWrap/>
            <w:vAlign w:val="bottom"/>
            <w:hideMark/>
          </w:tcPr>
          <w:p w14:paraId="1ED67C02" w14:textId="61EE92A7" w:rsidR="00AE3DC0" w:rsidRPr="00AE3DC0" w:rsidRDefault="00AE3DC0" w:rsidP="00AE3DC0">
            <w:pPr>
              <w:spacing w:after="0" w:line="240" w:lineRule="auto"/>
              <w:jc w:val="center"/>
              <w:rPr>
                <w:rFonts w:ascii="Aptos Narrow" w:eastAsia="Times New Roman" w:hAnsi="Aptos Narrow" w:cs="Times New Roman"/>
                <w:b/>
                <w:bCs/>
                <w:color w:val="000000"/>
                <w:kern w:val="0"/>
                <w:sz w:val="22"/>
                <w:szCs w:val="22"/>
                <w14:ligatures w14:val="none"/>
              </w:rPr>
            </w:pPr>
            <w:r>
              <w:rPr>
                <w:rFonts w:ascii="Aptos Narrow" w:hAnsi="Aptos Narrow"/>
                <w:b/>
                <w:bCs/>
                <w:color w:val="000000"/>
                <w:sz w:val="22"/>
                <w:szCs w:val="22"/>
              </w:rPr>
              <w:t>PCA Weight</w:t>
            </w:r>
          </w:p>
        </w:tc>
      </w:tr>
      <w:tr w:rsidR="00AE3DC0" w:rsidRPr="00AE3DC0" w14:paraId="3646EDB7" w14:textId="77777777" w:rsidTr="00AE3DC0">
        <w:trPr>
          <w:trHeight w:val="1133"/>
        </w:trPr>
        <w:tc>
          <w:tcPr>
            <w:tcW w:w="2115" w:type="dxa"/>
            <w:tcBorders>
              <w:top w:val="nil"/>
              <w:left w:val="nil"/>
              <w:bottom w:val="nil"/>
              <w:right w:val="nil"/>
            </w:tcBorders>
            <w:noWrap/>
            <w:vAlign w:val="center"/>
            <w:hideMark/>
          </w:tcPr>
          <w:p w14:paraId="72F73F15" w14:textId="77777777" w:rsidR="00AE3DC0" w:rsidRPr="00AE3DC0" w:rsidRDefault="00AE3DC0" w:rsidP="00AE3DC0">
            <w:pPr>
              <w:spacing w:after="0" w:line="240" w:lineRule="auto"/>
              <w:jc w:val="center"/>
              <w:rPr>
                <w:rFonts w:ascii="Aptos Narrow" w:eastAsia="Times New Roman" w:hAnsi="Aptos Narrow" w:cs="Times New Roman"/>
                <w:color w:val="000000"/>
                <w:kern w:val="0"/>
                <w:sz w:val="22"/>
                <w:szCs w:val="22"/>
                <w14:ligatures w14:val="none"/>
              </w:rPr>
            </w:pPr>
            <w:proofErr w:type="spellStart"/>
            <w:r w:rsidRPr="00AE3DC0">
              <w:rPr>
                <w:rFonts w:ascii="Aptos Narrow" w:eastAsia="Times New Roman" w:hAnsi="Aptos Narrow" w:cs="Times New Roman"/>
                <w:color w:val="000000"/>
                <w:kern w:val="0"/>
                <w:sz w:val="22"/>
                <w:szCs w:val="22"/>
                <w14:ligatures w14:val="none"/>
              </w:rPr>
              <w:t>dv_rating_beta</w:t>
            </w:r>
            <w:proofErr w:type="spellEnd"/>
          </w:p>
        </w:tc>
        <w:tc>
          <w:tcPr>
            <w:tcW w:w="2086" w:type="dxa"/>
            <w:tcBorders>
              <w:top w:val="nil"/>
              <w:left w:val="nil"/>
              <w:bottom w:val="nil"/>
              <w:right w:val="nil"/>
            </w:tcBorders>
            <w:noWrap/>
            <w:vAlign w:val="center"/>
            <w:hideMark/>
          </w:tcPr>
          <w:p w14:paraId="123C022A" w14:textId="77777777" w:rsidR="00AE3DC0" w:rsidRPr="00AE3DC0" w:rsidRDefault="00AE3DC0" w:rsidP="00AE3DC0">
            <w:pPr>
              <w:spacing w:after="0" w:line="240" w:lineRule="auto"/>
              <w:jc w:val="center"/>
              <w:rPr>
                <w:rFonts w:ascii="Aptos Narrow" w:eastAsia="Times New Roman" w:hAnsi="Aptos Narrow" w:cs="Times New Roman"/>
                <w:color w:val="467886"/>
                <w:kern w:val="0"/>
                <w:sz w:val="22"/>
                <w:szCs w:val="22"/>
                <w:u w:val="single"/>
                <w14:ligatures w14:val="none"/>
              </w:rPr>
            </w:pPr>
            <w:hyperlink r:id="rId6" w:history="1">
              <w:r w:rsidRPr="00AE3DC0">
                <w:rPr>
                  <w:rFonts w:ascii="Aptos Narrow" w:eastAsia="Times New Roman" w:hAnsi="Aptos Narrow" w:cs="Times New Roman"/>
                  <w:color w:val="467886"/>
                  <w:kern w:val="0"/>
                  <w:sz w:val="22"/>
                  <w:szCs w:val="22"/>
                  <w:u w:val="single"/>
                  <w14:ligatures w14:val="none"/>
                </w:rPr>
                <w:t>Eloundou et al. (2024)</w:t>
              </w:r>
            </w:hyperlink>
          </w:p>
        </w:tc>
        <w:tc>
          <w:tcPr>
            <w:tcW w:w="2561" w:type="dxa"/>
            <w:tcBorders>
              <w:top w:val="nil"/>
              <w:left w:val="nil"/>
              <w:bottom w:val="nil"/>
              <w:right w:val="nil"/>
            </w:tcBorders>
            <w:vAlign w:val="center"/>
            <w:hideMark/>
          </w:tcPr>
          <w:p w14:paraId="232BD090" w14:textId="77777777" w:rsidR="00AE3DC0" w:rsidRPr="00AE3DC0" w:rsidRDefault="00AE3DC0" w:rsidP="00AE3DC0">
            <w:pPr>
              <w:spacing w:after="0" w:line="240" w:lineRule="auto"/>
              <w:rPr>
                <w:rFonts w:ascii="Aptos Narrow" w:eastAsia="Times New Roman" w:hAnsi="Aptos Narrow" w:cs="Times New Roman"/>
                <w:color w:val="000000"/>
                <w:kern w:val="0"/>
                <w:sz w:val="22"/>
                <w:szCs w:val="22"/>
                <w14:ligatures w14:val="none"/>
              </w:rPr>
            </w:pPr>
            <w:r w:rsidRPr="00AE3DC0">
              <w:rPr>
                <w:rFonts w:ascii="Aptos Narrow" w:eastAsia="Times New Roman" w:hAnsi="Aptos Narrow" w:cs="Times New Roman"/>
                <w:color w:val="000000"/>
                <w:kern w:val="0"/>
                <w:sz w:val="22"/>
                <w:szCs w:val="22"/>
                <w14:ligatures w14:val="none"/>
              </w:rPr>
              <w:t>GPTs and auxiliary technologies speeding up task completion</w:t>
            </w:r>
          </w:p>
        </w:tc>
        <w:tc>
          <w:tcPr>
            <w:tcW w:w="3216" w:type="dxa"/>
            <w:tcBorders>
              <w:top w:val="nil"/>
              <w:left w:val="nil"/>
              <w:bottom w:val="nil"/>
              <w:right w:val="nil"/>
            </w:tcBorders>
            <w:noWrap/>
            <w:vAlign w:val="bottom"/>
            <w:hideMark/>
          </w:tcPr>
          <w:p w14:paraId="62ECECD7" w14:textId="74B8CFF4" w:rsidR="00AE3DC0" w:rsidRPr="00AE3DC0" w:rsidRDefault="00AE3DC0" w:rsidP="00AE3DC0">
            <w:pPr>
              <w:spacing w:after="0" w:line="240" w:lineRule="auto"/>
              <w:jc w:val="center"/>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0.426</w:t>
            </w:r>
          </w:p>
        </w:tc>
      </w:tr>
      <w:tr w:rsidR="00AE3DC0" w:rsidRPr="00AE3DC0" w14:paraId="7201265F" w14:textId="77777777" w:rsidTr="00AE3DC0">
        <w:trPr>
          <w:trHeight w:val="1133"/>
        </w:trPr>
        <w:tc>
          <w:tcPr>
            <w:tcW w:w="2115" w:type="dxa"/>
            <w:tcBorders>
              <w:top w:val="nil"/>
              <w:left w:val="nil"/>
              <w:bottom w:val="nil"/>
              <w:right w:val="nil"/>
            </w:tcBorders>
            <w:noWrap/>
            <w:vAlign w:val="center"/>
            <w:hideMark/>
          </w:tcPr>
          <w:p w14:paraId="5A1A57C0" w14:textId="77777777" w:rsidR="00AE3DC0" w:rsidRPr="00AE3DC0" w:rsidRDefault="00AE3DC0" w:rsidP="00AE3DC0">
            <w:pPr>
              <w:spacing w:after="0" w:line="240" w:lineRule="auto"/>
              <w:jc w:val="center"/>
              <w:rPr>
                <w:rFonts w:ascii="Aptos Narrow" w:eastAsia="Times New Roman" w:hAnsi="Aptos Narrow" w:cs="Times New Roman"/>
                <w:color w:val="000000"/>
                <w:kern w:val="0"/>
                <w:sz w:val="22"/>
                <w:szCs w:val="22"/>
                <w14:ligatures w14:val="none"/>
              </w:rPr>
            </w:pPr>
            <w:proofErr w:type="spellStart"/>
            <w:r w:rsidRPr="00AE3DC0">
              <w:rPr>
                <w:rFonts w:ascii="Aptos Narrow" w:eastAsia="Times New Roman" w:hAnsi="Aptos Narrow" w:cs="Times New Roman"/>
                <w:color w:val="000000"/>
                <w:kern w:val="0"/>
                <w:sz w:val="22"/>
                <w:szCs w:val="22"/>
                <w14:ligatures w14:val="none"/>
              </w:rPr>
              <w:t>human_rating_beta</w:t>
            </w:r>
            <w:proofErr w:type="spellEnd"/>
          </w:p>
        </w:tc>
        <w:tc>
          <w:tcPr>
            <w:tcW w:w="2086" w:type="dxa"/>
            <w:tcBorders>
              <w:top w:val="nil"/>
              <w:left w:val="nil"/>
              <w:bottom w:val="nil"/>
              <w:right w:val="nil"/>
            </w:tcBorders>
            <w:noWrap/>
            <w:vAlign w:val="center"/>
            <w:hideMark/>
          </w:tcPr>
          <w:p w14:paraId="3FA54B86" w14:textId="77777777" w:rsidR="00AE3DC0" w:rsidRPr="00AE3DC0" w:rsidRDefault="00AE3DC0" w:rsidP="00AE3DC0">
            <w:pPr>
              <w:spacing w:after="0" w:line="240" w:lineRule="auto"/>
              <w:jc w:val="center"/>
              <w:rPr>
                <w:rFonts w:ascii="Aptos Narrow" w:eastAsia="Times New Roman" w:hAnsi="Aptos Narrow" w:cs="Times New Roman"/>
                <w:color w:val="467886"/>
                <w:kern w:val="0"/>
                <w:sz w:val="22"/>
                <w:szCs w:val="22"/>
                <w:u w:val="single"/>
                <w14:ligatures w14:val="none"/>
              </w:rPr>
            </w:pPr>
            <w:hyperlink r:id="rId7" w:history="1">
              <w:r w:rsidRPr="00AE3DC0">
                <w:rPr>
                  <w:rFonts w:ascii="Aptos Narrow" w:eastAsia="Times New Roman" w:hAnsi="Aptos Narrow" w:cs="Times New Roman"/>
                  <w:color w:val="467886"/>
                  <w:kern w:val="0"/>
                  <w:sz w:val="22"/>
                  <w:szCs w:val="22"/>
                  <w:u w:val="single"/>
                  <w14:ligatures w14:val="none"/>
                </w:rPr>
                <w:t>Eloundou et al. (2024)</w:t>
              </w:r>
            </w:hyperlink>
          </w:p>
        </w:tc>
        <w:tc>
          <w:tcPr>
            <w:tcW w:w="2561" w:type="dxa"/>
            <w:tcBorders>
              <w:top w:val="nil"/>
              <w:left w:val="nil"/>
              <w:bottom w:val="nil"/>
              <w:right w:val="nil"/>
            </w:tcBorders>
            <w:vAlign w:val="center"/>
            <w:hideMark/>
          </w:tcPr>
          <w:p w14:paraId="434F274D" w14:textId="77777777" w:rsidR="00AE3DC0" w:rsidRPr="00AE3DC0" w:rsidRDefault="00AE3DC0" w:rsidP="00AE3DC0">
            <w:pPr>
              <w:spacing w:after="0" w:line="240" w:lineRule="auto"/>
              <w:rPr>
                <w:rFonts w:ascii="Aptos Narrow" w:eastAsia="Times New Roman" w:hAnsi="Aptos Narrow" w:cs="Times New Roman"/>
                <w:color w:val="000000"/>
                <w:kern w:val="0"/>
                <w:sz w:val="22"/>
                <w:szCs w:val="22"/>
                <w14:ligatures w14:val="none"/>
              </w:rPr>
            </w:pPr>
            <w:r w:rsidRPr="00AE3DC0">
              <w:rPr>
                <w:rFonts w:ascii="Aptos Narrow" w:eastAsia="Times New Roman" w:hAnsi="Aptos Narrow" w:cs="Times New Roman"/>
                <w:color w:val="000000"/>
                <w:kern w:val="0"/>
                <w:sz w:val="22"/>
                <w:szCs w:val="22"/>
                <w14:ligatures w14:val="none"/>
              </w:rPr>
              <w:t>GPTs and auxiliary technologies speeding up task completion</w:t>
            </w:r>
          </w:p>
        </w:tc>
        <w:tc>
          <w:tcPr>
            <w:tcW w:w="3216" w:type="dxa"/>
            <w:tcBorders>
              <w:top w:val="nil"/>
              <w:left w:val="nil"/>
              <w:bottom w:val="nil"/>
              <w:right w:val="nil"/>
            </w:tcBorders>
            <w:noWrap/>
            <w:vAlign w:val="bottom"/>
            <w:hideMark/>
          </w:tcPr>
          <w:p w14:paraId="4EA383B9" w14:textId="5A6E55D3" w:rsidR="00AE3DC0" w:rsidRPr="00AE3DC0" w:rsidRDefault="00AE3DC0" w:rsidP="00AE3DC0">
            <w:pPr>
              <w:spacing w:after="0" w:line="240" w:lineRule="auto"/>
              <w:jc w:val="center"/>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0.425</w:t>
            </w:r>
          </w:p>
        </w:tc>
      </w:tr>
      <w:tr w:rsidR="00AE3DC0" w:rsidRPr="00AE3DC0" w14:paraId="0B3233E8" w14:textId="77777777" w:rsidTr="00AE3DC0">
        <w:trPr>
          <w:trHeight w:val="1133"/>
        </w:trPr>
        <w:tc>
          <w:tcPr>
            <w:tcW w:w="2115" w:type="dxa"/>
            <w:tcBorders>
              <w:top w:val="nil"/>
              <w:left w:val="nil"/>
              <w:bottom w:val="nil"/>
              <w:right w:val="nil"/>
            </w:tcBorders>
            <w:noWrap/>
            <w:vAlign w:val="center"/>
            <w:hideMark/>
          </w:tcPr>
          <w:p w14:paraId="312A065F" w14:textId="77777777" w:rsidR="00AE3DC0" w:rsidRPr="00AE3DC0" w:rsidRDefault="00AE3DC0" w:rsidP="00AE3DC0">
            <w:pPr>
              <w:spacing w:after="0" w:line="240" w:lineRule="auto"/>
              <w:jc w:val="center"/>
              <w:rPr>
                <w:rFonts w:ascii="Aptos Narrow" w:eastAsia="Times New Roman" w:hAnsi="Aptos Narrow" w:cs="Times New Roman"/>
                <w:color w:val="000000"/>
                <w:kern w:val="0"/>
                <w:sz w:val="22"/>
                <w:szCs w:val="22"/>
                <w14:ligatures w14:val="none"/>
              </w:rPr>
            </w:pPr>
            <w:proofErr w:type="spellStart"/>
            <w:r w:rsidRPr="00AE3DC0">
              <w:rPr>
                <w:rFonts w:ascii="Aptos Narrow" w:eastAsia="Times New Roman" w:hAnsi="Aptos Narrow" w:cs="Times New Roman"/>
                <w:color w:val="000000"/>
                <w:kern w:val="0"/>
                <w:sz w:val="22"/>
                <w:szCs w:val="22"/>
                <w14:ligatures w14:val="none"/>
              </w:rPr>
              <w:lastRenderedPageBreak/>
              <w:t>genaiexp_estz_total</w:t>
            </w:r>
            <w:proofErr w:type="spellEnd"/>
          </w:p>
        </w:tc>
        <w:tc>
          <w:tcPr>
            <w:tcW w:w="2086" w:type="dxa"/>
            <w:tcBorders>
              <w:top w:val="nil"/>
              <w:left w:val="nil"/>
              <w:bottom w:val="nil"/>
              <w:right w:val="nil"/>
            </w:tcBorders>
            <w:noWrap/>
            <w:vAlign w:val="center"/>
            <w:hideMark/>
          </w:tcPr>
          <w:p w14:paraId="344327BB" w14:textId="77777777" w:rsidR="00AE3DC0" w:rsidRPr="00AE3DC0" w:rsidRDefault="00AE3DC0" w:rsidP="00AE3DC0">
            <w:pPr>
              <w:spacing w:after="0" w:line="240" w:lineRule="auto"/>
              <w:jc w:val="center"/>
              <w:rPr>
                <w:rFonts w:ascii="Aptos Narrow" w:eastAsia="Times New Roman" w:hAnsi="Aptos Narrow" w:cs="Times New Roman"/>
                <w:color w:val="467886"/>
                <w:kern w:val="0"/>
                <w:sz w:val="22"/>
                <w:szCs w:val="22"/>
                <w:u w:val="single"/>
                <w14:ligatures w14:val="none"/>
              </w:rPr>
            </w:pPr>
            <w:hyperlink r:id="rId8" w:history="1">
              <w:r w:rsidRPr="00AE3DC0">
                <w:rPr>
                  <w:rFonts w:ascii="Aptos Narrow" w:eastAsia="Times New Roman" w:hAnsi="Aptos Narrow" w:cs="Times New Roman"/>
                  <w:color w:val="467886"/>
                  <w:kern w:val="0"/>
                  <w:sz w:val="22"/>
                  <w:szCs w:val="22"/>
                  <w:u w:val="single"/>
                  <w14:ligatures w14:val="none"/>
                </w:rPr>
                <w:t xml:space="preserve">Eisfeldt et al. (2023) </w:t>
              </w:r>
            </w:hyperlink>
          </w:p>
        </w:tc>
        <w:tc>
          <w:tcPr>
            <w:tcW w:w="2561" w:type="dxa"/>
            <w:tcBorders>
              <w:top w:val="nil"/>
              <w:left w:val="nil"/>
              <w:bottom w:val="nil"/>
              <w:right w:val="nil"/>
            </w:tcBorders>
            <w:vAlign w:val="center"/>
            <w:hideMark/>
          </w:tcPr>
          <w:p w14:paraId="0F57F3C6" w14:textId="77777777" w:rsidR="00AE3DC0" w:rsidRPr="00AE3DC0" w:rsidRDefault="00AE3DC0" w:rsidP="00AE3DC0">
            <w:pPr>
              <w:spacing w:after="0" w:line="240" w:lineRule="auto"/>
              <w:rPr>
                <w:rFonts w:ascii="Aptos Narrow" w:eastAsia="Times New Roman" w:hAnsi="Aptos Narrow" w:cs="Times New Roman"/>
                <w:color w:val="000000"/>
                <w:kern w:val="0"/>
                <w:sz w:val="22"/>
                <w:szCs w:val="22"/>
                <w14:ligatures w14:val="none"/>
              </w:rPr>
            </w:pPr>
            <w:r w:rsidRPr="00AE3DC0">
              <w:rPr>
                <w:rFonts w:ascii="Aptos Narrow" w:eastAsia="Times New Roman" w:hAnsi="Aptos Narrow" w:cs="Times New Roman"/>
                <w:color w:val="000000"/>
                <w:kern w:val="0"/>
                <w:sz w:val="22"/>
                <w:szCs w:val="22"/>
                <w14:ligatures w14:val="none"/>
              </w:rPr>
              <w:t>Task completion efficiency (all tasks)</w:t>
            </w:r>
          </w:p>
        </w:tc>
        <w:tc>
          <w:tcPr>
            <w:tcW w:w="3216" w:type="dxa"/>
            <w:tcBorders>
              <w:top w:val="nil"/>
              <w:left w:val="nil"/>
              <w:bottom w:val="nil"/>
              <w:right w:val="nil"/>
            </w:tcBorders>
            <w:noWrap/>
            <w:vAlign w:val="bottom"/>
            <w:hideMark/>
          </w:tcPr>
          <w:p w14:paraId="3C2FA74E" w14:textId="78E5957D" w:rsidR="00AE3DC0" w:rsidRPr="00AE3DC0" w:rsidRDefault="00AE3DC0" w:rsidP="00AE3DC0">
            <w:pPr>
              <w:spacing w:after="0" w:line="240" w:lineRule="auto"/>
              <w:jc w:val="center"/>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0.419</w:t>
            </w:r>
          </w:p>
        </w:tc>
      </w:tr>
      <w:tr w:rsidR="00AE3DC0" w:rsidRPr="00AE3DC0" w14:paraId="5CB2AA33" w14:textId="77777777" w:rsidTr="00AE3DC0">
        <w:trPr>
          <w:trHeight w:val="1133"/>
        </w:trPr>
        <w:tc>
          <w:tcPr>
            <w:tcW w:w="2115" w:type="dxa"/>
            <w:tcBorders>
              <w:top w:val="nil"/>
              <w:left w:val="nil"/>
              <w:bottom w:val="nil"/>
              <w:right w:val="nil"/>
            </w:tcBorders>
            <w:noWrap/>
            <w:vAlign w:val="center"/>
            <w:hideMark/>
          </w:tcPr>
          <w:p w14:paraId="1FFDF338" w14:textId="77777777" w:rsidR="00AE3DC0" w:rsidRPr="00AE3DC0" w:rsidRDefault="00AE3DC0" w:rsidP="00AE3DC0">
            <w:pPr>
              <w:spacing w:after="0" w:line="240" w:lineRule="auto"/>
              <w:jc w:val="center"/>
              <w:rPr>
                <w:rFonts w:ascii="Aptos Narrow" w:eastAsia="Times New Roman" w:hAnsi="Aptos Narrow" w:cs="Times New Roman"/>
                <w:color w:val="000000"/>
                <w:kern w:val="0"/>
                <w:sz w:val="22"/>
                <w:szCs w:val="22"/>
                <w14:ligatures w14:val="none"/>
              </w:rPr>
            </w:pPr>
            <w:proofErr w:type="spellStart"/>
            <w:r w:rsidRPr="00AE3DC0">
              <w:rPr>
                <w:rFonts w:ascii="Aptos Narrow" w:eastAsia="Times New Roman" w:hAnsi="Aptos Narrow" w:cs="Times New Roman"/>
                <w:color w:val="000000"/>
                <w:kern w:val="0"/>
                <w:sz w:val="22"/>
                <w:szCs w:val="22"/>
                <w14:ligatures w14:val="none"/>
              </w:rPr>
              <w:t>genai_exp_estz_core</w:t>
            </w:r>
            <w:proofErr w:type="spellEnd"/>
          </w:p>
        </w:tc>
        <w:tc>
          <w:tcPr>
            <w:tcW w:w="2086" w:type="dxa"/>
            <w:tcBorders>
              <w:top w:val="nil"/>
              <w:left w:val="nil"/>
              <w:bottom w:val="nil"/>
              <w:right w:val="nil"/>
            </w:tcBorders>
            <w:noWrap/>
            <w:vAlign w:val="center"/>
            <w:hideMark/>
          </w:tcPr>
          <w:p w14:paraId="6C687E10" w14:textId="77777777" w:rsidR="00AE3DC0" w:rsidRPr="00AE3DC0" w:rsidRDefault="00AE3DC0" w:rsidP="00AE3DC0">
            <w:pPr>
              <w:spacing w:after="0" w:line="240" w:lineRule="auto"/>
              <w:jc w:val="center"/>
              <w:rPr>
                <w:rFonts w:ascii="Aptos Narrow" w:eastAsia="Times New Roman" w:hAnsi="Aptos Narrow" w:cs="Times New Roman"/>
                <w:color w:val="467886"/>
                <w:kern w:val="0"/>
                <w:sz w:val="22"/>
                <w:szCs w:val="22"/>
                <w:u w:val="single"/>
                <w14:ligatures w14:val="none"/>
              </w:rPr>
            </w:pPr>
            <w:hyperlink r:id="rId9" w:history="1">
              <w:r w:rsidRPr="00AE3DC0">
                <w:rPr>
                  <w:rFonts w:ascii="Aptos Narrow" w:eastAsia="Times New Roman" w:hAnsi="Aptos Narrow" w:cs="Times New Roman"/>
                  <w:color w:val="467886"/>
                  <w:kern w:val="0"/>
                  <w:sz w:val="22"/>
                  <w:szCs w:val="22"/>
                  <w:u w:val="single"/>
                  <w14:ligatures w14:val="none"/>
                </w:rPr>
                <w:t xml:space="preserve">Eisfeldt et al. (2023) </w:t>
              </w:r>
            </w:hyperlink>
          </w:p>
        </w:tc>
        <w:tc>
          <w:tcPr>
            <w:tcW w:w="2561" w:type="dxa"/>
            <w:tcBorders>
              <w:top w:val="nil"/>
              <w:left w:val="nil"/>
              <w:bottom w:val="nil"/>
              <w:right w:val="nil"/>
            </w:tcBorders>
            <w:vAlign w:val="center"/>
            <w:hideMark/>
          </w:tcPr>
          <w:p w14:paraId="7FB91A07" w14:textId="77777777" w:rsidR="00AE3DC0" w:rsidRPr="00AE3DC0" w:rsidRDefault="00AE3DC0" w:rsidP="00AE3DC0">
            <w:pPr>
              <w:spacing w:after="0" w:line="240" w:lineRule="auto"/>
              <w:rPr>
                <w:rFonts w:ascii="Aptos Narrow" w:eastAsia="Times New Roman" w:hAnsi="Aptos Narrow" w:cs="Times New Roman"/>
                <w:color w:val="000000"/>
                <w:kern w:val="0"/>
                <w:sz w:val="22"/>
                <w:szCs w:val="22"/>
                <w14:ligatures w14:val="none"/>
              </w:rPr>
            </w:pPr>
            <w:r w:rsidRPr="00AE3DC0">
              <w:rPr>
                <w:rFonts w:ascii="Aptos Narrow" w:eastAsia="Times New Roman" w:hAnsi="Aptos Narrow" w:cs="Times New Roman"/>
                <w:color w:val="000000"/>
                <w:kern w:val="0"/>
                <w:sz w:val="22"/>
                <w:szCs w:val="22"/>
                <w14:ligatures w14:val="none"/>
              </w:rPr>
              <w:t>Task completion efficiency (core tasks)</w:t>
            </w:r>
          </w:p>
        </w:tc>
        <w:tc>
          <w:tcPr>
            <w:tcW w:w="3216" w:type="dxa"/>
            <w:tcBorders>
              <w:top w:val="nil"/>
              <w:left w:val="nil"/>
              <w:bottom w:val="nil"/>
              <w:right w:val="nil"/>
            </w:tcBorders>
            <w:noWrap/>
            <w:vAlign w:val="bottom"/>
            <w:hideMark/>
          </w:tcPr>
          <w:p w14:paraId="7B28863C" w14:textId="3FC1DB07" w:rsidR="00AE3DC0" w:rsidRPr="00AE3DC0" w:rsidRDefault="00AE3DC0" w:rsidP="00AE3DC0">
            <w:pPr>
              <w:spacing w:after="0" w:line="240" w:lineRule="auto"/>
              <w:jc w:val="center"/>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0.407</w:t>
            </w:r>
          </w:p>
        </w:tc>
      </w:tr>
      <w:tr w:rsidR="00AE3DC0" w:rsidRPr="00AE3DC0" w14:paraId="0A1FC29F" w14:textId="77777777" w:rsidTr="00AE3DC0">
        <w:trPr>
          <w:trHeight w:val="1133"/>
        </w:trPr>
        <w:tc>
          <w:tcPr>
            <w:tcW w:w="2115" w:type="dxa"/>
            <w:tcBorders>
              <w:top w:val="nil"/>
              <w:left w:val="nil"/>
              <w:bottom w:val="nil"/>
              <w:right w:val="nil"/>
            </w:tcBorders>
            <w:noWrap/>
            <w:vAlign w:val="center"/>
            <w:hideMark/>
          </w:tcPr>
          <w:p w14:paraId="4D3850DA" w14:textId="77777777" w:rsidR="00AE3DC0" w:rsidRPr="00AE3DC0" w:rsidRDefault="00AE3DC0" w:rsidP="00AE3DC0">
            <w:pPr>
              <w:spacing w:after="0" w:line="240" w:lineRule="auto"/>
              <w:jc w:val="center"/>
              <w:rPr>
                <w:rFonts w:ascii="Aptos Narrow" w:eastAsia="Times New Roman" w:hAnsi="Aptos Narrow" w:cs="Times New Roman"/>
                <w:color w:val="000000"/>
                <w:kern w:val="0"/>
                <w:sz w:val="22"/>
                <w:szCs w:val="22"/>
                <w14:ligatures w14:val="none"/>
              </w:rPr>
            </w:pPr>
            <w:r w:rsidRPr="00AE3DC0">
              <w:rPr>
                <w:rFonts w:ascii="Aptos Narrow" w:eastAsia="Times New Roman" w:hAnsi="Aptos Narrow" w:cs="Times New Roman"/>
                <w:color w:val="000000"/>
                <w:kern w:val="0"/>
                <w:sz w:val="22"/>
                <w:szCs w:val="22"/>
                <w14:ligatures w14:val="none"/>
              </w:rPr>
              <w:t>AIOE</w:t>
            </w:r>
          </w:p>
        </w:tc>
        <w:tc>
          <w:tcPr>
            <w:tcW w:w="2086" w:type="dxa"/>
            <w:tcBorders>
              <w:top w:val="nil"/>
              <w:left w:val="nil"/>
              <w:bottom w:val="nil"/>
              <w:right w:val="nil"/>
            </w:tcBorders>
            <w:noWrap/>
            <w:vAlign w:val="center"/>
            <w:hideMark/>
          </w:tcPr>
          <w:p w14:paraId="04828B5F" w14:textId="77777777" w:rsidR="00AE3DC0" w:rsidRPr="00AE3DC0" w:rsidRDefault="00AE3DC0" w:rsidP="00AE3DC0">
            <w:pPr>
              <w:spacing w:after="0" w:line="240" w:lineRule="auto"/>
              <w:jc w:val="center"/>
              <w:rPr>
                <w:rFonts w:ascii="Aptos Narrow" w:eastAsia="Times New Roman" w:hAnsi="Aptos Narrow" w:cs="Times New Roman"/>
                <w:color w:val="467886"/>
                <w:kern w:val="0"/>
                <w:sz w:val="22"/>
                <w:szCs w:val="22"/>
                <w:u w:val="single"/>
                <w14:ligatures w14:val="none"/>
              </w:rPr>
            </w:pPr>
            <w:hyperlink r:id="rId10" w:history="1">
              <w:r w:rsidRPr="00AE3DC0">
                <w:rPr>
                  <w:rFonts w:ascii="Aptos Narrow" w:eastAsia="Times New Roman" w:hAnsi="Aptos Narrow" w:cs="Times New Roman"/>
                  <w:color w:val="467886"/>
                  <w:kern w:val="0"/>
                  <w:sz w:val="22"/>
                  <w:szCs w:val="22"/>
                  <w:u w:val="single"/>
                  <w14:ligatures w14:val="none"/>
                </w:rPr>
                <w:t>Felten et al. (2021)</w:t>
              </w:r>
            </w:hyperlink>
          </w:p>
        </w:tc>
        <w:tc>
          <w:tcPr>
            <w:tcW w:w="2561" w:type="dxa"/>
            <w:tcBorders>
              <w:top w:val="nil"/>
              <w:left w:val="nil"/>
              <w:bottom w:val="nil"/>
              <w:right w:val="nil"/>
            </w:tcBorders>
            <w:vAlign w:val="center"/>
            <w:hideMark/>
          </w:tcPr>
          <w:p w14:paraId="1F297CA0" w14:textId="77777777" w:rsidR="00AE3DC0" w:rsidRPr="00AE3DC0" w:rsidRDefault="00AE3DC0" w:rsidP="00AE3DC0">
            <w:pPr>
              <w:spacing w:after="0" w:line="240" w:lineRule="auto"/>
              <w:rPr>
                <w:rFonts w:ascii="Aptos Narrow" w:eastAsia="Times New Roman" w:hAnsi="Aptos Narrow" w:cs="Times New Roman"/>
                <w:color w:val="000000"/>
                <w:kern w:val="0"/>
                <w:sz w:val="22"/>
                <w:szCs w:val="22"/>
                <w14:ligatures w14:val="none"/>
              </w:rPr>
            </w:pPr>
            <w:r w:rsidRPr="00AE3DC0">
              <w:rPr>
                <w:rFonts w:ascii="Aptos Narrow" w:eastAsia="Times New Roman" w:hAnsi="Aptos Narrow" w:cs="Times New Roman"/>
                <w:color w:val="000000"/>
                <w:kern w:val="0"/>
                <w:sz w:val="22"/>
                <w:szCs w:val="22"/>
                <w14:ligatures w14:val="none"/>
              </w:rPr>
              <w:t>Occupational ability's exposure to various AI applications</w:t>
            </w:r>
          </w:p>
        </w:tc>
        <w:tc>
          <w:tcPr>
            <w:tcW w:w="3216" w:type="dxa"/>
            <w:tcBorders>
              <w:top w:val="nil"/>
              <w:left w:val="nil"/>
              <w:bottom w:val="nil"/>
              <w:right w:val="nil"/>
            </w:tcBorders>
            <w:noWrap/>
            <w:vAlign w:val="bottom"/>
            <w:hideMark/>
          </w:tcPr>
          <w:p w14:paraId="159EDA0C" w14:textId="1027B9AF" w:rsidR="00AE3DC0" w:rsidRPr="00AE3DC0" w:rsidRDefault="00AE3DC0" w:rsidP="00AE3DC0">
            <w:pPr>
              <w:spacing w:after="0" w:line="240" w:lineRule="auto"/>
              <w:jc w:val="center"/>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0.410</w:t>
            </w:r>
          </w:p>
        </w:tc>
      </w:tr>
      <w:tr w:rsidR="00AE3DC0" w:rsidRPr="00AE3DC0" w14:paraId="0081B50F" w14:textId="77777777" w:rsidTr="008A0AC1">
        <w:trPr>
          <w:trHeight w:val="1133"/>
        </w:trPr>
        <w:tc>
          <w:tcPr>
            <w:tcW w:w="2115" w:type="dxa"/>
            <w:tcBorders>
              <w:top w:val="nil"/>
              <w:left w:val="nil"/>
              <w:bottom w:val="nil"/>
              <w:right w:val="nil"/>
            </w:tcBorders>
            <w:noWrap/>
            <w:vAlign w:val="center"/>
            <w:hideMark/>
          </w:tcPr>
          <w:p w14:paraId="7F7A1371" w14:textId="77777777" w:rsidR="00AE3DC0" w:rsidRPr="00AE3DC0" w:rsidRDefault="00AE3DC0" w:rsidP="00AE3DC0">
            <w:pPr>
              <w:spacing w:after="0" w:line="240" w:lineRule="auto"/>
              <w:jc w:val="center"/>
              <w:rPr>
                <w:rFonts w:ascii="Aptos Narrow" w:eastAsia="Times New Roman" w:hAnsi="Aptos Narrow" w:cs="Times New Roman"/>
                <w:color w:val="000000"/>
                <w:kern w:val="0"/>
                <w:sz w:val="22"/>
                <w:szCs w:val="22"/>
                <w14:ligatures w14:val="none"/>
              </w:rPr>
            </w:pPr>
            <w:proofErr w:type="spellStart"/>
            <w:r w:rsidRPr="00AE3DC0">
              <w:rPr>
                <w:rFonts w:ascii="Aptos Narrow" w:eastAsia="Times New Roman" w:hAnsi="Aptos Narrow" w:cs="Times New Roman"/>
                <w:color w:val="000000"/>
                <w:kern w:val="0"/>
                <w:sz w:val="22"/>
                <w:szCs w:val="22"/>
                <w14:ligatures w14:val="none"/>
              </w:rPr>
              <w:t>ai_applicability_score</w:t>
            </w:r>
            <w:proofErr w:type="spellEnd"/>
          </w:p>
        </w:tc>
        <w:tc>
          <w:tcPr>
            <w:tcW w:w="2086" w:type="dxa"/>
            <w:tcBorders>
              <w:top w:val="nil"/>
              <w:left w:val="nil"/>
              <w:bottom w:val="nil"/>
              <w:right w:val="nil"/>
            </w:tcBorders>
            <w:noWrap/>
            <w:vAlign w:val="center"/>
            <w:hideMark/>
          </w:tcPr>
          <w:p w14:paraId="0948D369" w14:textId="77777777" w:rsidR="00AE3DC0" w:rsidRPr="00AE3DC0" w:rsidRDefault="00AE3DC0" w:rsidP="00AE3DC0">
            <w:pPr>
              <w:spacing w:after="0" w:line="240" w:lineRule="auto"/>
              <w:jc w:val="center"/>
              <w:rPr>
                <w:rFonts w:ascii="Aptos Narrow" w:eastAsia="Times New Roman" w:hAnsi="Aptos Narrow" w:cs="Times New Roman"/>
                <w:color w:val="467886"/>
                <w:kern w:val="0"/>
                <w:sz w:val="22"/>
                <w:szCs w:val="22"/>
                <w:u w:val="single"/>
                <w14:ligatures w14:val="none"/>
              </w:rPr>
            </w:pPr>
            <w:hyperlink r:id="rId11" w:history="1">
              <w:r w:rsidRPr="00AE3DC0">
                <w:rPr>
                  <w:rFonts w:ascii="Aptos Narrow" w:eastAsia="Times New Roman" w:hAnsi="Aptos Narrow" w:cs="Times New Roman"/>
                  <w:color w:val="467886"/>
                  <w:kern w:val="0"/>
                  <w:sz w:val="22"/>
                  <w:szCs w:val="22"/>
                  <w:u w:val="single"/>
                  <w14:ligatures w14:val="none"/>
                </w:rPr>
                <w:t>Tomlinson et al. (2025)</w:t>
              </w:r>
            </w:hyperlink>
          </w:p>
        </w:tc>
        <w:tc>
          <w:tcPr>
            <w:tcW w:w="2561" w:type="dxa"/>
            <w:tcBorders>
              <w:top w:val="nil"/>
              <w:left w:val="nil"/>
              <w:bottom w:val="nil"/>
              <w:right w:val="nil"/>
            </w:tcBorders>
            <w:vAlign w:val="center"/>
            <w:hideMark/>
          </w:tcPr>
          <w:p w14:paraId="49E31246" w14:textId="77777777" w:rsidR="00AE3DC0" w:rsidRPr="00AE3DC0" w:rsidRDefault="00AE3DC0" w:rsidP="00AE3DC0">
            <w:pPr>
              <w:spacing w:after="0" w:line="240" w:lineRule="auto"/>
              <w:rPr>
                <w:rFonts w:ascii="Aptos Narrow" w:eastAsia="Times New Roman" w:hAnsi="Aptos Narrow" w:cs="Times New Roman"/>
                <w:color w:val="000000"/>
                <w:kern w:val="0"/>
                <w:sz w:val="22"/>
                <w:szCs w:val="22"/>
                <w14:ligatures w14:val="none"/>
              </w:rPr>
            </w:pPr>
            <w:r w:rsidRPr="00AE3DC0">
              <w:rPr>
                <w:rFonts w:ascii="Aptos Narrow" w:eastAsia="Times New Roman" w:hAnsi="Aptos Narrow" w:cs="Times New Roman"/>
                <w:color w:val="000000"/>
                <w:kern w:val="0"/>
                <w:sz w:val="22"/>
                <w:szCs w:val="22"/>
                <w14:ligatures w14:val="none"/>
              </w:rPr>
              <w:t>How successfully does the model complete the user's task</w:t>
            </w:r>
          </w:p>
        </w:tc>
        <w:tc>
          <w:tcPr>
            <w:tcW w:w="3216" w:type="dxa"/>
            <w:tcBorders>
              <w:top w:val="nil"/>
              <w:left w:val="nil"/>
              <w:bottom w:val="nil"/>
              <w:right w:val="nil"/>
            </w:tcBorders>
            <w:noWrap/>
            <w:vAlign w:val="bottom"/>
            <w:hideMark/>
          </w:tcPr>
          <w:p w14:paraId="2740EAF0" w14:textId="4BA161D0" w:rsidR="00AE3DC0" w:rsidRPr="00AE3DC0" w:rsidRDefault="00AE3DC0" w:rsidP="00AE3DC0">
            <w:pPr>
              <w:spacing w:after="0" w:line="240" w:lineRule="auto"/>
              <w:jc w:val="center"/>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0.359</w:t>
            </w:r>
          </w:p>
        </w:tc>
      </w:tr>
    </w:tbl>
    <w:p w14:paraId="708F69A5" w14:textId="25498EF5" w:rsidR="00AE3DC0" w:rsidRPr="00AE3DC0" w:rsidRDefault="00AE3DC0" w:rsidP="00AE3DC0">
      <w:pPr>
        <w:pStyle w:val="Heading2"/>
        <w:rPr>
          <w:rFonts w:asciiTheme="minorHAnsi" w:eastAsiaTheme="minorHAnsi" w:hAnsiTheme="minorHAnsi" w:cstheme="minorBidi"/>
          <w:color w:val="auto"/>
          <w:sz w:val="24"/>
          <w:szCs w:val="24"/>
        </w:rPr>
      </w:pPr>
      <w:r w:rsidRPr="00AE3DC0">
        <w:rPr>
          <w:rFonts w:asciiTheme="minorHAnsi" w:eastAsiaTheme="minorHAnsi" w:hAnsiTheme="minorHAnsi" w:cstheme="minorBidi"/>
          <w:color w:val="auto"/>
          <w:sz w:val="24"/>
          <w:szCs w:val="24"/>
        </w:rPr>
        <w:t>We exclude the exposure measure developed by Michael Webb, as it captures patent-based technological overlap rather than task-level AI capability. Including this measure did not materially change PCA-derived scores but substantially reduced occupational coverage due to data limitations. As a result, excluding it improved consistency and completeness without affecting overall results.</w:t>
      </w:r>
    </w:p>
    <w:p w14:paraId="5C19D5AD" w14:textId="77777777" w:rsidR="00AE3DC0" w:rsidRDefault="00AE3DC0" w:rsidP="00AE3DC0">
      <w:pPr>
        <w:pStyle w:val="Heading2"/>
        <w:rPr>
          <w:rFonts w:asciiTheme="minorHAnsi" w:eastAsiaTheme="minorHAnsi" w:hAnsiTheme="minorHAnsi" w:cstheme="minorBidi"/>
          <w:color w:val="auto"/>
          <w:sz w:val="24"/>
          <w:szCs w:val="24"/>
        </w:rPr>
      </w:pPr>
      <w:r w:rsidRPr="00AE3DC0">
        <w:rPr>
          <w:rFonts w:asciiTheme="minorHAnsi" w:eastAsiaTheme="minorHAnsi" w:hAnsiTheme="minorHAnsi" w:cstheme="minorBidi"/>
          <w:color w:val="auto"/>
          <w:sz w:val="24"/>
          <w:szCs w:val="24"/>
        </w:rPr>
        <w:t>By integrating multiple theoretical measures into a single composite index, this approach provides a more robust foundation for assessing occupational exposure, while recognizing that exposure alone is only one component of broader labor market risk.</w:t>
      </w:r>
    </w:p>
    <w:p w14:paraId="1DBFA3DD" w14:textId="11FE1936" w:rsidR="00AE3DC0" w:rsidRPr="00AE3DC0" w:rsidRDefault="00AE3DC0" w:rsidP="00AE3DC0">
      <w:pPr>
        <w:pStyle w:val="Heading2"/>
      </w:pPr>
      <w:r w:rsidRPr="00AE3DC0">
        <w:t>Adaptive Capacity</w:t>
      </w:r>
    </w:p>
    <w:p w14:paraId="5C226238" w14:textId="1F935B30" w:rsidR="00AE3DC0" w:rsidRPr="00AE3DC0" w:rsidRDefault="00AE3DC0" w:rsidP="00AE3DC0">
      <w:pPr>
        <w:pStyle w:val="NormalWeb"/>
        <w:rPr>
          <w:rFonts w:asciiTheme="minorHAnsi" w:hAnsiTheme="minorHAnsi"/>
          <w:color w:val="000000"/>
        </w:rPr>
      </w:pPr>
      <w:r w:rsidRPr="00AE3DC0">
        <w:rPr>
          <w:rFonts w:asciiTheme="minorHAnsi" w:hAnsiTheme="minorHAnsi"/>
          <w:color w:val="000000"/>
        </w:rPr>
        <w:t>To complement measures of AI exposure, this analysis incorporates an occupation-level measure of</w:t>
      </w:r>
      <w:r w:rsidRPr="00AE3DC0">
        <w:rPr>
          <w:rStyle w:val="apple-converted-space"/>
          <w:rFonts w:asciiTheme="minorHAnsi" w:eastAsiaTheme="majorEastAsia" w:hAnsiTheme="minorHAnsi"/>
          <w:color w:val="000000"/>
        </w:rPr>
        <w:t> </w:t>
      </w:r>
      <w:r w:rsidRPr="00AE3DC0">
        <w:rPr>
          <w:rStyle w:val="Strong"/>
          <w:rFonts w:asciiTheme="minorHAnsi" w:eastAsiaTheme="majorEastAsia" w:hAnsiTheme="minorHAnsi"/>
          <w:color w:val="000000"/>
        </w:rPr>
        <w:t>adaptive capacity</w:t>
      </w:r>
      <w:r w:rsidRPr="00AE3DC0">
        <w:rPr>
          <w:rFonts w:asciiTheme="minorHAnsi" w:hAnsiTheme="minorHAnsi"/>
          <w:color w:val="000000"/>
        </w:rPr>
        <w:t xml:space="preserve">, following the framework developed </w:t>
      </w:r>
      <w:r>
        <w:rPr>
          <w:rFonts w:asciiTheme="minorHAnsi" w:hAnsiTheme="minorHAnsi"/>
          <w:color w:val="000000"/>
        </w:rPr>
        <w:t xml:space="preserve">by </w:t>
      </w:r>
      <w:r w:rsidRPr="00AE3DC0">
        <w:rPr>
          <w:rFonts w:asciiTheme="minorHAnsi" w:hAnsiTheme="minorHAnsi"/>
          <w:color w:val="000000"/>
        </w:rPr>
        <w:t>Manning and Aguirre. Adaptive capacity is defined as the ability of workers within an occupation to transition to alternative employment opportunities and mitigate welfare losses in response to technological disruption.</w:t>
      </w:r>
      <w:r>
        <w:rPr>
          <w:rFonts w:asciiTheme="minorHAnsi" w:hAnsiTheme="minorHAnsi"/>
          <w:color w:val="000000"/>
        </w:rPr>
        <w:t xml:space="preserve"> </w:t>
      </w:r>
    </w:p>
    <w:p w14:paraId="71B42518" w14:textId="77777777" w:rsidR="00AE3DC0" w:rsidRPr="00AE3DC0" w:rsidRDefault="00AE3DC0" w:rsidP="00AE3DC0">
      <w:pPr>
        <w:pStyle w:val="NormalWeb"/>
        <w:rPr>
          <w:rFonts w:asciiTheme="minorHAnsi" w:hAnsiTheme="minorHAnsi"/>
          <w:color w:val="000000"/>
        </w:rPr>
      </w:pPr>
      <w:r w:rsidRPr="00AE3DC0">
        <w:rPr>
          <w:rFonts w:asciiTheme="minorHAnsi" w:hAnsiTheme="minorHAnsi"/>
          <w:color w:val="000000"/>
        </w:rPr>
        <w:t>Adaptive capacity is modeled as a composite index capturing multiple dimensions of worker resilience. Let</w:t>
      </w:r>
      <w:r w:rsidRPr="00AE3DC0">
        <w:rPr>
          <w:rStyle w:val="apple-converted-space"/>
          <w:rFonts w:asciiTheme="minorHAnsi" w:eastAsiaTheme="majorEastAsia" w:hAnsiTheme="minorHAnsi"/>
          <w:color w:val="000000"/>
        </w:rPr>
        <w:t> </w:t>
      </w:r>
      <m:oMath>
        <m:r>
          <w:rPr>
            <w:rFonts w:ascii="Cambria Math" w:hAnsi="Cambria Math"/>
          </w:rPr>
          <m:t>o</m:t>
        </m:r>
      </m:oMath>
      <w:r w:rsidRPr="00AE3DC0">
        <w:rPr>
          <w:rStyle w:val="apple-converted-space"/>
          <w:rFonts w:asciiTheme="minorHAnsi" w:eastAsiaTheme="majorEastAsia" w:hAnsiTheme="minorHAnsi"/>
          <w:color w:val="000000"/>
        </w:rPr>
        <w:t> </w:t>
      </w:r>
      <w:r w:rsidRPr="00AE3DC0">
        <w:rPr>
          <w:rFonts w:asciiTheme="minorHAnsi" w:hAnsiTheme="minorHAnsi"/>
          <w:color w:val="000000"/>
        </w:rPr>
        <w:t>index occupations. The adaptive capacity score for occupation</w:t>
      </w:r>
      <w:r w:rsidRPr="00AE3DC0">
        <w:rPr>
          <w:rStyle w:val="apple-converted-space"/>
          <w:rFonts w:asciiTheme="minorHAnsi" w:eastAsiaTheme="majorEastAsia" w:hAnsiTheme="minorHAnsi"/>
          <w:color w:val="000000"/>
        </w:rPr>
        <w:t> </w:t>
      </w:r>
      <m:oMath>
        <m:r>
          <w:rPr>
            <w:rFonts w:ascii="Cambria Math" w:hAnsi="Cambria Math"/>
          </w:rPr>
          <m:t>o</m:t>
        </m:r>
      </m:oMath>
      <w:r w:rsidRPr="00AE3DC0">
        <w:rPr>
          <w:rFonts w:asciiTheme="minorHAnsi" w:hAnsiTheme="minorHAnsi"/>
          <w:color w:val="000000"/>
        </w:rPr>
        <w:t>, denoted</w:t>
      </w:r>
      <w:r w:rsidRPr="00AE3DC0">
        <w:rPr>
          <w:rStyle w:val="apple-converted-space"/>
          <w:rFonts w:asciiTheme="minorHAnsi" w:eastAsiaTheme="majorEastAsia" w:hAnsiTheme="minorHAnsi"/>
          <w:color w:val="000000"/>
        </w:rPr>
        <w:t> </w:t>
      </w:r>
      <m:oMath>
        <m:r>
          <w:rPr>
            <w:rFonts w:ascii="Cambria Math" w:hAnsi="Cambria Math"/>
          </w:rPr>
          <m:t>A</m:t>
        </m:r>
        <m:sSub>
          <m:sSubPr>
            <m:ctrlPr>
              <w:rPr>
                <w:rFonts w:ascii="Cambria Math" w:hAnsi="Cambria Math"/>
              </w:rPr>
            </m:ctrlPr>
          </m:sSubPr>
          <m:e>
            <m:r>
              <w:rPr>
                <w:rFonts w:ascii="Cambria Math" w:hAnsi="Cambria Math"/>
              </w:rPr>
              <m:t>C</m:t>
            </m:r>
          </m:e>
          <m:sub>
            <m:r>
              <w:rPr>
                <w:rFonts w:ascii="Cambria Math" w:hAnsi="Cambria Math"/>
              </w:rPr>
              <m:t>o</m:t>
            </m:r>
          </m:sub>
        </m:sSub>
      </m:oMath>
      <w:r w:rsidRPr="00AE3DC0">
        <w:rPr>
          <w:rFonts w:asciiTheme="minorHAnsi" w:hAnsiTheme="minorHAnsi"/>
          <w:color w:val="000000"/>
        </w:rPr>
        <w:t>, is defined as a weighted combination of standardized components:</w:t>
      </w:r>
    </w:p>
    <w:p w14:paraId="2700098C" w14:textId="6545023E" w:rsidR="00AE3DC0" w:rsidRPr="00AE3DC0" w:rsidRDefault="00AE3DC0" w:rsidP="00AE3DC0">
      <m:oMathPara>
        <m:oMath>
          <m:r>
            <w:rPr>
              <w:rFonts w:ascii="Cambria Math" w:hAnsi="Cambria Math"/>
            </w:rPr>
            <m:t>A</m:t>
          </m:r>
          <m:sSub>
            <m:sSubPr>
              <m:ctrlPr>
                <w:rPr>
                  <w:rFonts w:ascii="Cambria Math" w:hAnsi="Cambria Math"/>
                </w:rPr>
              </m:ctrlPr>
            </m:sSubPr>
            <m:e>
              <m:r>
                <w:rPr>
                  <w:rFonts w:ascii="Cambria Math" w:hAnsi="Cambria Math"/>
                </w:rPr>
                <m:t>C</m:t>
              </m:r>
            </m:e>
            <m:sub>
              <m:r>
                <w:rPr>
                  <w:rFonts w:ascii="Cambria Math" w:hAnsi="Cambria Math"/>
                </w:rPr>
                <m:t>o</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k=1</m:t>
              </m:r>
            </m:sub>
            <m:sup>
              <m:r>
                <w:rPr>
                  <w:rFonts w:ascii="Cambria Math" w:hAnsi="Cambria Math"/>
                </w:rPr>
                <m:t>K</m:t>
              </m:r>
            </m:sup>
            <m:e>
              <m:sSub>
                <m:sSubPr>
                  <m:ctrlPr>
                    <w:rPr>
                      <w:rFonts w:ascii="Cambria Math" w:hAnsi="Cambria Math"/>
                    </w:rPr>
                  </m:ctrlPr>
                </m:sSubPr>
                <m:e>
                  <m:r>
                    <w:rPr>
                      <w:rFonts w:ascii="Cambria Math" w:hAnsi="Cambria Math"/>
                    </w:rPr>
                    <m:t>w</m:t>
                  </m:r>
                </m:e>
                <m:sub>
                  <m:r>
                    <w:rPr>
                      <w:rFonts w:ascii="Cambria Math" w:hAnsi="Cambria Math"/>
                    </w:rPr>
                    <m:t>k</m:t>
                  </m:r>
                </m:sub>
              </m:sSub>
            </m:e>
          </m:nary>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ok</m:t>
              </m:r>
            </m:sub>
          </m:sSub>
        </m:oMath>
      </m:oMathPara>
    </w:p>
    <w:p w14:paraId="477B150D" w14:textId="77777777" w:rsidR="00AE3DC0" w:rsidRPr="00AE3DC0" w:rsidRDefault="00AE3DC0" w:rsidP="00AE3DC0">
      <w:pPr>
        <w:pStyle w:val="NormalWeb"/>
        <w:rPr>
          <w:rFonts w:asciiTheme="minorHAnsi" w:hAnsiTheme="minorHAnsi"/>
          <w:color w:val="000000"/>
        </w:rPr>
      </w:pPr>
      <w:r w:rsidRPr="00AE3DC0">
        <w:rPr>
          <w:rFonts w:asciiTheme="minorHAnsi" w:hAnsiTheme="minorHAnsi"/>
          <w:color w:val="000000"/>
        </w:rPr>
        <w:t>where:</w:t>
      </w:r>
    </w:p>
    <w:p w14:paraId="57E381B7" w14:textId="77777777" w:rsidR="00AE3DC0" w:rsidRPr="00AE3DC0" w:rsidRDefault="00000000" w:rsidP="00AE3DC0">
      <w:pPr>
        <w:numPr>
          <w:ilvl w:val="0"/>
          <w:numId w:val="12"/>
        </w:numPr>
        <w:spacing w:before="100" w:beforeAutospacing="1" w:after="100" w:afterAutospacing="1" w:line="240" w:lineRule="auto"/>
        <w:rPr>
          <w:color w:val="000000"/>
        </w:rPr>
      </w:pPr>
      <m:oMath>
        <m:sSub>
          <m:sSubPr>
            <m:ctrlPr>
              <w:rPr>
                <w:rFonts w:ascii="Cambria Math" w:hAnsi="Cambria Math"/>
              </w:rPr>
            </m:ctrlPr>
          </m:sSubPr>
          <m:e>
            <m:r>
              <w:rPr>
                <w:rFonts w:ascii="Cambria Math" w:hAnsi="Cambria Math"/>
              </w:rPr>
              <m:t>Z</m:t>
            </m:r>
          </m:e>
          <m:sub>
            <m:r>
              <w:rPr>
                <w:rFonts w:ascii="Cambria Math" w:hAnsi="Cambria Math"/>
              </w:rPr>
              <m:t>ok</m:t>
            </m:r>
          </m:sub>
        </m:sSub>
      </m:oMath>
      <w:r w:rsidR="00AE3DC0" w:rsidRPr="00AE3DC0">
        <w:rPr>
          <w:rStyle w:val="apple-converted-space"/>
          <w:color w:val="000000"/>
        </w:rPr>
        <w:t> </w:t>
      </w:r>
      <w:r w:rsidR="00AE3DC0" w:rsidRPr="00AE3DC0">
        <w:rPr>
          <w:color w:val="000000"/>
        </w:rPr>
        <w:t>represents the standardized (z-scored) value of component</w:t>
      </w:r>
      <w:r w:rsidR="00AE3DC0" w:rsidRPr="00AE3DC0">
        <w:rPr>
          <w:rStyle w:val="apple-converted-space"/>
          <w:color w:val="000000"/>
        </w:rPr>
        <w:t> </w:t>
      </w:r>
      <m:oMath>
        <m:r>
          <w:rPr>
            <w:rFonts w:ascii="Cambria Math" w:hAnsi="Cambria Math"/>
          </w:rPr>
          <m:t>k</m:t>
        </m:r>
      </m:oMath>
      <w:r w:rsidR="00AE3DC0" w:rsidRPr="00AE3DC0">
        <w:rPr>
          <w:rStyle w:val="apple-converted-space"/>
          <w:color w:val="000000"/>
        </w:rPr>
        <w:t> </w:t>
      </w:r>
      <w:r w:rsidR="00AE3DC0" w:rsidRPr="00AE3DC0">
        <w:rPr>
          <w:color w:val="000000"/>
        </w:rPr>
        <w:t>for occupation</w:t>
      </w:r>
      <w:r w:rsidR="00AE3DC0" w:rsidRPr="00AE3DC0">
        <w:rPr>
          <w:rStyle w:val="apple-converted-space"/>
          <w:color w:val="000000"/>
        </w:rPr>
        <w:t> </w:t>
      </w:r>
      <m:oMath>
        <m:r>
          <w:rPr>
            <w:rFonts w:ascii="Cambria Math" w:hAnsi="Cambria Math"/>
          </w:rPr>
          <m:t>o</m:t>
        </m:r>
      </m:oMath>
      <w:r w:rsidR="00AE3DC0" w:rsidRPr="00AE3DC0">
        <w:rPr>
          <w:color w:val="000000"/>
        </w:rPr>
        <w:t>,</w:t>
      </w:r>
    </w:p>
    <w:p w14:paraId="4DF43C32" w14:textId="77777777" w:rsidR="00AE3DC0" w:rsidRPr="00AE3DC0" w:rsidRDefault="00000000" w:rsidP="00AE3DC0">
      <w:pPr>
        <w:numPr>
          <w:ilvl w:val="0"/>
          <w:numId w:val="12"/>
        </w:numPr>
        <w:spacing w:before="100" w:beforeAutospacing="1" w:after="100" w:afterAutospacing="1" w:line="240" w:lineRule="auto"/>
        <w:rPr>
          <w:color w:val="000000"/>
        </w:rPr>
      </w:pPr>
      <m:oMath>
        <m:sSub>
          <m:sSubPr>
            <m:ctrlPr>
              <w:rPr>
                <w:rFonts w:ascii="Cambria Math" w:hAnsi="Cambria Math"/>
              </w:rPr>
            </m:ctrlPr>
          </m:sSubPr>
          <m:e>
            <m:r>
              <w:rPr>
                <w:rFonts w:ascii="Cambria Math" w:hAnsi="Cambria Math"/>
              </w:rPr>
              <m:t>w</m:t>
            </m:r>
          </m:e>
          <m:sub>
            <m:r>
              <w:rPr>
                <w:rFonts w:ascii="Cambria Math" w:hAnsi="Cambria Math"/>
              </w:rPr>
              <m:t>k</m:t>
            </m:r>
          </m:sub>
        </m:sSub>
      </m:oMath>
      <w:r w:rsidR="00AE3DC0" w:rsidRPr="00AE3DC0">
        <w:rPr>
          <w:rStyle w:val="apple-converted-space"/>
          <w:color w:val="000000"/>
        </w:rPr>
        <w:t> </w:t>
      </w:r>
      <w:r w:rsidR="00AE3DC0" w:rsidRPr="00AE3DC0">
        <w:rPr>
          <w:color w:val="000000"/>
        </w:rPr>
        <w:t>are weights applied to each component, and</w:t>
      </w:r>
    </w:p>
    <w:p w14:paraId="2DB62787" w14:textId="77777777" w:rsidR="00AE3DC0" w:rsidRPr="00AE3DC0" w:rsidRDefault="00AE3DC0" w:rsidP="00AE3DC0">
      <w:pPr>
        <w:numPr>
          <w:ilvl w:val="0"/>
          <w:numId w:val="12"/>
        </w:numPr>
        <w:spacing w:before="100" w:beforeAutospacing="1" w:after="100" w:afterAutospacing="1" w:line="240" w:lineRule="auto"/>
        <w:rPr>
          <w:color w:val="000000"/>
        </w:rPr>
      </w:pPr>
      <m:oMath>
        <m:r>
          <w:rPr>
            <w:rFonts w:ascii="Cambria Math" w:hAnsi="Cambria Math"/>
          </w:rPr>
          <m:t>K</m:t>
        </m:r>
      </m:oMath>
      <w:r w:rsidRPr="00AE3DC0">
        <w:rPr>
          <w:rStyle w:val="apple-converted-space"/>
          <w:color w:val="000000"/>
        </w:rPr>
        <w:t> </w:t>
      </w:r>
      <w:r w:rsidRPr="00AE3DC0">
        <w:rPr>
          <w:color w:val="000000"/>
        </w:rPr>
        <w:t>is the number of dimensions included in the index.</w:t>
      </w:r>
    </w:p>
    <w:p w14:paraId="401725F5" w14:textId="77777777" w:rsidR="00AE3DC0" w:rsidRPr="00AE3DC0" w:rsidRDefault="00AE3DC0" w:rsidP="00AE3DC0">
      <w:pPr>
        <w:pStyle w:val="NormalWeb"/>
        <w:rPr>
          <w:rFonts w:asciiTheme="minorHAnsi" w:hAnsiTheme="minorHAnsi"/>
          <w:color w:val="000000"/>
        </w:rPr>
      </w:pPr>
      <w:r w:rsidRPr="00AE3DC0">
        <w:rPr>
          <w:rFonts w:asciiTheme="minorHAnsi" w:hAnsiTheme="minorHAnsi"/>
          <w:color w:val="000000"/>
        </w:rPr>
        <w:t>Following the NBER framework, the index incorporates four primary dimensions:</w:t>
      </w:r>
    </w:p>
    <w:p w14:paraId="5317FF85" w14:textId="77777777" w:rsidR="00AE3DC0" w:rsidRPr="00AE3DC0" w:rsidRDefault="00AE3DC0" w:rsidP="00AE3DC0">
      <w:pPr>
        <w:numPr>
          <w:ilvl w:val="0"/>
          <w:numId w:val="13"/>
        </w:numPr>
        <w:spacing w:before="100" w:beforeAutospacing="1" w:after="100" w:afterAutospacing="1" w:line="240" w:lineRule="auto"/>
        <w:rPr>
          <w:color w:val="000000"/>
        </w:rPr>
      </w:pPr>
      <w:r w:rsidRPr="00AE3DC0">
        <w:rPr>
          <w:rStyle w:val="Strong"/>
          <w:color w:val="000000"/>
        </w:rPr>
        <w:t>Financial Capacity (</w:t>
      </w:r>
      <m:oMath>
        <m:sSubSup>
          <m:sSubSupPr>
            <m:ctrlPr>
              <w:rPr>
                <w:rFonts w:ascii="Cambria Math" w:hAnsi="Cambria Math"/>
              </w:rPr>
            </m:ctrlPr>
          </m:sSubSupPr>
          <m:e>
            <m:r>
              <w:rPr>
                <w:rFonts w:ascii="Cambria Math" w:hAnsi="Cambria Math"/>
              </w:rPr>
              <m:t>Z</m:t>
            </m:r>
          </m:e>
          <m:sub>
            <m:r>
              <w:rPr>
                <w:rFonts w:ascii="Cambria Math" w:hAnsi="Cambria Math"/>
              </w:rPr>
              <m:t>o</m:t>
            </m:r>
          </m:sub>
          <m:sup>
            <m:r>
              <w:rPr>
                <w:rFonts w:ascii="Cambria Math" w:hAnsi="Cambria Math"/>
              </w:rPr>
              <m:t>wealth</m:t>
            </m:r>
          </m:sup>
        </m:sSubSup>
      </m:oMath>
      <w:r w:rsidRPr="00AE3DC0">
        <w:rPr>
          <w:rStyle w:val="Strong"/>
          <w:color w:val="000000"/>
        </w:rPr>
        <w:t>)</w:t>
      </w:r>
      <w:r w:rsidRPr="00AE3DC0">
        <w:rPr>
          <w:color w:val="000000"/>
        </w:rPr>
        <w:br/>
        <w:t>Proxied by measures of liquid or net wealth available to workers in the occupation, capturing the ability to withstand periods of unemployment or invest in retraining.</w:t>
      </w:r>
    </w:p>
    <w:p w14:paraId="5AB27126" w14:textId="77777777" w:rsidR="00AE3DC0" w:rsidRPr="00AE3DC0" w:rsidRDefault="00AE3DC0" w:rsidP="00AE3DC0">
      <w:pPr>
        <w:numPr>
          <w:ilvl w:val="0"/>
          <w:numId w:val="13"/>
        </w:numPr>
        <w:spacing w:before="100" w:beforeAutospacing="1" w:after="100" w:afterAutospacing="1" w:line="240" w:lineRule="auto"/>
        <w:rPr>
          <w:color w:val="000000"/>
        </w:rPr>
      </w:pPr>
      <w:r w:rsidRPr="00AE3DC0">
        <w:rPr>
          <w:rStyle w:val="Strong"/>
          <w:color w:val="000000"/>
        </w:rPr>
        <w:t>Skill Transferability (</w:t>
      </w:r>
      <m:oMath>
        <m:sSubSup>
          <m:sSubSupPr>
            <m:ctrlPr>
              <w:rPr>
                <w:rFonts w:ascii="Cambria Math" w:hAnsi="Cambria Math"/>
              </w:rPr>
            </m:ctrlPr>
          </m:sSubSupPr>
          <m:e>
            <m:r>
              <w:rPr>
                <w:rFonts w:ascii="Cambria Math" w:hAnsi="Cambria Math"/>
              </w:rPr>
              <m:t>Z</m:t>
            </m:r>
          </m:e>
          <m:sub>
            <m:r>
              <w:rPr>
                <w:rFonts w:ascii="Cambria Math" w:hAnsi="Cambria Math"/>
              </w:rPr>
              <m:t>o</m:t>
            </m:r>
          </m:sub>
          <m:sup>
            <m:r>
              <w:rPr>
                <w:rFonts w:ascii="Cambria Math" w:hAnsi="Cambria Math"/>
              </w:rPr>
              <m:t>skills</m:t>
            </m:r>
          </m:sup>
        </m:sSubSup>
      </m:oMath>
      <w:r w:rsidRPr="00AE3DC0">
        <w:rPr>
          <w:rStyle w:val="Strong"/>
          <w:color w:val="000000"/>
        </w:rPr>
        <w:t>)</w:t>
      </w:r>
      <w:r w:rsidRPr="00AE3DC0">
        <w:rPr>
          <w:color w:val="000000"/>
        </w:rPr>
        <w:br/>
        <w:t>Measures the extent to which an occupation’s skill set can be applied to other occupations. This is typically derived from task or skill similarity metrics (e.g., O*NET-based similarity scores), reflecting the breadth of feasible occupational transitions.</w:t>
      </w:r>
    </w:p>
    <w:p w14:paraId="0AABA4DC" w14:textId="77777777" w:rsidR="00AE3DC0" w:rsidRPr="00AE3DC0" w:rsidRDefault="00AE3DC0" w:rsidP="00AE3DC0">
      <w:pPr>
        <w:numPr>
          <w:ilvl w:val="0"/>
          <w:numId w:val="13"/>
        </w:numPr>
        <w:spacing w:before="100" w:beforeAutospacing="1" w:after="100" w:afterAutospacing="1" w:line="240" w:lineRule="auto"/>
        <w:rPr>
          <w:color w:val="000000"/>
        </w:rPr>
      </w:pPr>
      <w:r w:rsidRPr="00AE3DC0">
        <w:rPr>
          <w:rStyle w:val="Strong"/>
          <w:color w:val="000000"/>
        </w:rPr>
        <w:t>Local Labor Market Density (</w:t>
      </w:r>
      <m:oMath>
        <m:sSubSup>
          <m:sSubSupPr>
            <m:ctrlPr>
              <w:rPr>
                <w:rFonts w:ascii="Cambria Math" w:hAnsi="Cambria Math"/>
              </w:rPr>
            </m:ctrlPr>
          </m:sSubSupPr>
          <m:e>
            <m:r>
              <w:rPr>
                <w:rFonts w:ascii="Cambria Math" w:hAnsi="Cambria Math"/>
              </w:rPr>
              <m:t>Z</m:t>
            </m:r>
          </m:e>
          <m:sub>
            <m:r>
              <w:rPr>
                <w:rFonts w:ascii="Cambria Math" w:hAnsi="Cambria Math"/>
              </w:rPr>
              <m:t>o</m:t>
            </m:r>
          </m:sub>
          <m:sup>
            <m:r>
              <w:rPr>
                <w:rFonts w:ascii="Cambria Math" w:hAnsi="Cambria Math"/>
              </w:rPr>
              <m:t>density</m:t>
            </m:r>
          </m:sup>
        </m:sSubSup>
      </m:oMath>
      <w:r w:rsidRPr="00AE3DC0">
        <w:rPr>
          <w:rStyle w:val="Strong"/>
          <w:color w:val="000000"/>
        </w:rPr>
        <w:t>)</w:t>
      </w:r>
      <w:r w:rsidRPr="00AE3DC0">
        <w:rPr>
          <w:color w:val="000000"/>
        </w:rPr>
        <w:br/>
        <w:t>Captures the availability of alternative employment opportunities within local labor markets, often proxied by occupational employment concentration or job availability across regions.</w:t>
      </w:r>
    </w:p>
    <w:p w14:paraId="75E04E88" w14:textId="77777777" w:rsidR="00AE3DC0" w:rsidRPr="00AE3DC0" w:rsidRDefault="00AE3DC0" w:rsidP="00AE3DC0">
      <w:pPr>
        <w:numPr>
          <w:ilvl w:val="0"/>
          <w:numId w:val="13"/>
        </w:numPr>
        <w:spacing w:before="100" w:beforeAutospacing="1" w:after="100" w:afterAutospacing="1" w:line="240" w:lineRule="auto"/>
        <w:rPr>
          <w:color w:val="000000"/>
        </w:rPr>
      </w:pPr>
      <w:r w:rsidRPr="00AE3DC0">
        <w:rPr>
          <w:rStyle w:val="Strong"/>
          <w:color w:val="000000"/>
        </w:rPr>
        <w:t>Demographic Factors (</w:t>
      </w:r>
      <m:oMath>
        <m:sSubSup>
          <m:sSubSupPr>
            <m:ctrlPr>
              <w:rPr>
                <w:rFonts w:ascii="Cambria Math" w:hAnsi="Cambria Math"/>
              </w:rPr>
            </m:ctrlPr>
          </m:sSubSupPr>
          <m:e>
            <m:r>
              <w:rPr>
                <w:rFonts w:ascii="Cambria Math" w:hAnsi="Cambria Math"/>
              </w:rPr>
              <m:t>Z</m:t>
            </m:r>
          </m:e>
          <m:sub>
            <m:r>
              <w:rPr>
                <w:rFonts w:ascii="Cambria Math" w:hAnsi="Cambria Math"/>
              </w:rPr>
              <m:t>o</m:t>
            </m:r>
          </m:sub>
          <m:sup>
            <m:r>
              <w:rPr>
                <w:rFonts w:ascii="Cambria Math" w:hAnsi="Cambria Math"/>
              </w:rPr>
              <m:t>age</m:t>
            </m:r>
          </m:sup>
        </m:sSubSup>
      </m:oMath>
      <w:r w:rsidRPr="00AE3DC0">
        <w:rPr>
          <w:rStyle w:val="Strong"/>
          <w:color w:val="000000"/>
        </w:rPr>
        <w:t>)</w:t>
      </w:r>
      <w:r w:rsidRPr="00AE3DC0">
        <w:rPr>
          <w:color w:val="000000"/>
        </w:rPr>
        <w:br/>
        <w:t>Incorporates age-related characteristics, recognizing that younger workers may have greater flexibility in retraining and occupational mobility relative to older workers.</w:t>
      </w:r>
    </w:p>
    <w:p w14:paraId="3931A39A" w14:textId="77777777" w:rsidR="00AE3DC0" w:rsidRPr="00AE3DC0" w:rsidRDefault="00AE3DC0" w:rsidP="00AE3DC0">
      <w:pPr>
        <w:pStyle w:val="NormalWeb"/>
        <w:rPr>
          <w:rFonts w:asciiTheme="minorHAnsi" w:hAnsiTheme="minorHAnsi"/>
          <w:color w:val="000000"/>
        </w:rPr>
      </w:pPr>
      <w:r w:rsidRPr="00AE3DC0">
        <w:rPr>
          <w:rFonts w:asciiTheme="minorHAnsi" w:hAnsiTheme="minorHAnsi"/>
          <w:color w:val="000000"/>
        </w:rPr>
        <w:t>Each component is standardized:</w:t>
      </w:r>
    </w:p>
    <w:p w14:paraId="405E2FE0" w14:textId="2373EC73" w:rsidR="00AE3DC0" w:rsidRPr="00AE3DC0" w:rsidRDefault="00000000" w:rsidP="00AE3DC0">
      <m:oMathPara>
        <m:oMath>
          <m:sSub>
            <m:sSubPr>
              <m:ctrlPr>
                <w:rPr>
                  <w:rFonts w:ascii="Cambria Math" w:hAnsi="Cambria Math"/>
                </w:rPr>
              </m:ctrlPr>
            </m:sSubPr>
            <m:e>
              <m:r>
                <w:rPr>
                  <w:rFonts w:ascii="Cambria Math" w:hAnsi="Cambria Math"/>
                </w:rPr>
                <m:t>Z</m:t>
              </m:r>
            </m:e>
            <m:sub>
              <m:r>
                <w:rPr>
                  <w:rFonts w:ascii="Cambria Math" w:hAnsi="Cambria Math"/>
                </w:rPr>
                <m:t>ok</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ok</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num>
            <m:den>
              <m:sSub>
                <m:sSubPr>
                  <m:ctrlPr>
                    <w:rPr>
                      <w:rFonts w:ascii="Cambria Math" w:hAnsi="Cambria Math"/>
                    </w:rPr>
                  </m:ctrlPr>
                </m:sSubPr>
                <m:e>
                  <m:r>
                    <w:rPr>
                      <w:rFonts w:ascii="Cambria Math" w:hAnsi="Cambria Math"/>
                    </w:rPr>
                    <m:t>σ</m:t>
                  </m:r>
                </m:e>
                <m:sub>
                  <m:r>
                    <w:rPr>
                      <w:rFonts w:ascii="Cambria Math" w:hAnsi="Cambria Math"/>
                    </w:rPr>
                    <m:t>k</m:t>
                  </m:r>
                </m:sub>
              </m:sSub>
            </m:den>
          </m:f>
        </m:oMath>
      </m:oMathPara>
    </w:p>
    <w:p w14:paraId="785F718C" w14:textId="77777777" w:rsidR="00AE3DC0" w:rsidRPr="00AE3DC0" w:rsidRDefault="00AE3DC0" w:rsidP="00AE3DC0">
      <w:pPr>
        <w:pStyle w:val="NormalWeb"/>
        <w:rPr>
          <w:rFonts w:asciiTheme="minorHAnsi" w:hAnsiTheme="minorHAnsi"/>
          <w:color w:val="000000"/>
        </w:rPr>
      </w:pPr>
      <w:r w:rsidRPr="00AE3DC0">
        <w:rPr>
          <w:rFonts w:asciiTheme="minorHAnsi" w:hAnsiTheme="minorHAnsi"/>
          <w:color w:val="000000"/>
        </w:rPr>
        <w:t>where</w:t>
      </w:r>
      <w:r w:rsidRPr="00AE3DC0">
        <w:rPr>
          <w:rStyle w:val="apple-converted-space"/>
          <w:rFonts w:asciiTheme="minorHAnsi" w:eastAsiaTheme="majorEastAsia" w:hAnsiTheme="minorHAnsi"/>
          <w:color w:val="000000"/>
        </w:rPr>
        <w:t> </w:t>
      </w:r>
      <m:oMath>
        <m:sSub>
          <m:sSubPr>
            <m:ctrlPr>
              <w:rPr>
                <w:rFonts w:ascii="Cambria Math" w:hAnsi="Cambria Math"/>
              </w:rPr>
            </m:ctrlPr>
          </m:sSubPr>
          <m:e>
            <m:r>
              <w:rPr>
                <w:rFonts w:ascii="Cambria Math" w:hAnsi="Cambria Math"/>
              </w:rPr>
              <m:t>X</m:t>
            </m:r>
          </m:e>
          <m:sub>
            <m:r>
              <w:rPr>
                <w:rFonts w:ascii="Cambria Math" w:hAnsi="Cambria Math"/>
              </w:rPr>
              <m:t>ok</m:t>
            </m:r>
          </m:sub>
        </m:sSub>
      </m:oMath>
      <w:r w:rsidRPr="00AE3DC0">
        <w:rPr>
          <w:rStyle w:val="apple-converted-space"/>
          <w:rFonts w:asciiTheme="minorHAnsi" w:eastAsiaTheme="majorEastAsia" w:hAnsiTheme="minorHAnsi"/>
          <w:color w:val="000000"/>
        </w:rPr>
        <w:t> </w:t>
      </w:r>
      <w:r w:rsidRPr="00AE3DC0">
        <w:rPr>
          <w:rFonts w:asciiTheme="minorHAnsi" w:hAnsiTheme="minorHAnsi"/>
          <w:color w:val="000000"/>
        </w:rPr>
        <w:t>is the raw value of component</w:t>
      </w:r>
      <w:r w:rsidRPr="00AE3DC0">
        <w:rPr>
          <w:rStyle w:val="apple-converted-space"/>
          <w:rFonts w:asciiTheme="minorHAnsi" w:eastAsiaTheme="majorEastAsia" w:hAnsiTheme="minorHAnsi"/>
          <w:color w:val="000000"/>
        </w:rPr>
        <w:t> </w:t>
      </w:r>
      <m:oMath>
        <m:r>
          <w:rPr>
            <w:rFonts w:ascii="Cambria Math" w:hAnsi="Cambria Math"/>
          </w:rPr>
          <m:t>k</m:t>
        </m:r>
      </m:oMath>
      <w:r w:rsidRPr="00AE3DC0">
        <w:rPr>
          <w:rStyle w:val="apple-converted-space"/>
          <w:rFonts w:asciiTheme="minorHAnsi" w:eastAsiaTheme="majorEastAsia" w:hAnsiTheme="minorHAnsi"/>
          <w:color w:val="000000"/>
        </w:rPr>
        <w:t> </w:t>
      </w:r>
      <w:r w:rsidRPr="00AE3DC0">
        <w:rPr>
          <w:rFonts w:asciiTheme="minorHAnsi" w:hAnsiTheme="minorHAnsi"/>
          <w:color w:val="000000"/>
        </w:rPr>
        <w:t>for occupation</w:t>
      </w:r>
      <w:r w:rsidRPr="00AE3DC0">
        <w:rPr>
          <w:rStyle w:val="apple-converted-space"/>
          <w:rFonts w:asciiTheme="minorHAnsi" w:eastAsiaTheme="majorEastAsia" w:hAnsiTheme="minorHAnsi"/>
          <w:color w:val="000000"/>
        </w:rPr>
        <w:t> </w:t>
      </w:r>
      <m:oMath>
        <m:r>
          <w:rPr>
            <w:rFonts w:ascii="Cambria Math" w:hAnsi="Cambria Math"/>
          </w:rPr>
          <m:t>o</m:t>
        </m:r>
      </m:oMath>
      <w:r w:rsidRPr="00AE3DC0">
        <w:rPr>
          <w:rFonts w:asciiTheme="minorHAnsi" w:hAnsiTheme="minorHAnsi"/>
          <w:color w:val="000000"/>
        </w:rPr>
        <w:t>, and</w:t>
      </w:r>
      <w:r w:rsidRPr="00AE3DC0">
        <w:rPr>
          <w:rStyle w:val="apple-converted-space"/>
          <w:rFonts w:asciiTheme="minorHAnsi" w:eastAsiaTheme="majorEastAsia" w:hAnsiTheme="minorHAnsi"/>
          <w:color w:val="000000"/>
        </w:rPr>
        <w:t> </w:t>
      </w:r>
      <m:oMath>
        <m:sSub>
          <m:sSubPr>
            <m:ctrlPr>
              <w:rPr>
                <w:rFonts w:ascii="Cambria Math" w:hAnsi="Cambria Math"/>
              </w:rPr>
            </m:ctrlPr>
          </m:sSubPr>
          <m:e>
            <m:r>
              <w:rPr>
                <w:rFonts w:ascii="Cambria Math" w:hAnsi="Cambria Math"/>
              </w:rPr>
              <m:t>μ</m:t>
            </m:r>
          </m:e>
          <m:sub>
            <m:r>
              <w:rPr>
                <w:rFonts w:ascii="Cambria Math" w:hAnsi="Cambria Math"/>
              </w:rPr>
              <m:t>k</m:t>
            </m:r>
          </m:sub>
        </m:sSub>
      </m:oMath>
      <w:r w:rsidRPr="00AE3DC0">
        <w:rPr>
          <w:rFonts w:asciiTheme="minorHAnsi" w:hAnsiTheme="minorHAnsi"/>
          <w:color w:val="000000"/>
        </w:rPr>
        <w:t>,</w:t>
      </w:r>
      <w:r w:rsidRPr="00AE3DC0">
        <w:rPr>
          <w:rStyle w:val="apple-converted-space"/>
          <w:rFonts w:asciiTheme="minorHAnsi" w:eastAsiaTheme="majorEastAsia" w:hAnsiTheme="minorHAnsi"/>
          <w:color w:val="000000"/>
        </w:rPr>
        <w:t> </w:t>
      </w:r>
      <m:oMath>
        <m:sSub>
          <m:sSubPr>
            <m:ctrlPr>
              <w:rPr>
                <w:rFonts w:ascii="Cambria Math" w:hAnsi="Cambria Math"/>
              </w:rPr>
            </m:ctrlPr>
          </m:sSubPr>
          <m:e>
            <m:r>
              <w:rPr>
                <w:rFonts w:ascii="Cambria Math" w:hAnsi="Cambria Math"/>
              </w:rPr>
              <m:t>σ</m:t>
            </m:r>
          </m:e>
          <m:sub>
            <m:r>
              <w:rPr>
                <w:rFonts w:ascii="Cambria Math" w:hAnsi="Cambria Math"/>
              </w:rPr>
              <m:t>k</m:t>
            </m:r>
          </m:sub>
        </m:sSub>
      </m:oMath>
      <w:r w:rsidRPr="00AE3DC0">
        <w:rPr>
          <w:rStyle w:val="apple-converted-space"/>
          <w:rFonts w:asciiTheme="minorHAnsi" w:eastAsiaTheme="majorEastAsia" w:hAnsiTheme="minorHAnsi"/>
          <w:color w:val="000000"/>
        </w:rPr>
        <w:t> </w:t>
      </w:r>
      <w:r w:rsidRPr="00AE3DC0">
        <w:rPr>
          <w:rFonts w:asciiTheme="minorHAnsi" w:hAnsiTheme="minorHAnsi"/>
          <w:color w:val="000000"/>
        </w:rPr>
        <w:t>are the mean and standard deviation across occupations.</w:t>
      </w:r>
    </w:p>
    <w:p w14:paraId="00940B83" w14:textId="77777777" w:rsidR="00AE3DC0" w:rsidRPr="00AE3DC0" w:rsidRDefault="00AE3DC0" w:rsidP="00AE3DC0">
      <w:pPr>
        <w:pStyle w:val="NormalWeb"/>
        <w:rPr>
          <w:rFonts w:asciiTheme="minorHAnsi" w:hAnsiTheme="minorHAnsi"/>
          <w:color w:val="000000"/>
        </w:rPr>
      </w:pPr>
      <w:r w:rsidRPr="00AE3DC0">
        <w:rPr>
          <w:rFonts w:asciiTheme="minorHAnsi" w:hAnsiTheme="minorHAnsi"/>
          <w:color w:val="000000"/>
        </w:rPr>
        <w:t>In the absence of explicit weighting guidance, equal weights are applied:</w:t>
      </w:r>
    </w:p>
    <w:p w14:paraId="4A8A599C" w14:textId="77777777" w:rsidR="00AE3DC0" w:rsidRPr="00AE3DC0" w:rsidRDefault="00000000" w:rsidP="00AE3DC0">
      <m:oMathPara>
        <m:oMath>
          <m:sSub>
            <m:sSubPr>
              <m:ctrlPr>
                <w:rPr>
                  <w:rFonts w:ascii="Cambria Math" w:hAnsi="Cambria Math"/>
                </w:rPr>
              </m:ctrlPr>
            </m:sSubPr>
            <m:e>
              <m:r>
                <w:rPr>
                  <w:rFonts w:ascii="Cambria Math" w:hAnsi="Cambria Math"/>
                </w:rPr>
                <m:t>w</m:t>
              </m:r>
            </m:e>
            <m:sub>
              <m:r>
                <w:rPr>
                  <w:rFonts w:ascii="Cambria Math" w:hAnsi="Cambria Math"/>
                </w:rPr>
                <m:t>k</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K</m:t>
              </m:r>
            </m:den>
          </m:f>
          <m:r>
            <m:rPr>
              <m:sty m:val="p"/>
            </m:rPr>
            <w:br/>
          </m:r>
        </m:oMath>
      </m:oMathPara>
    </w:p>
    <w:p w14:paraId="1402B4FE" w14:textId="0AD127D0" w:rsidR="00AE3DC0" w:rsidRPr="00AE3DC0" w:rsidRDefault="00AE3DC0" w:rsidP="00AE3DC0">
      <w:pPr>
        <w:pStyle w:val="NormalWeb"/>
        <w:rPr>
          <w:rFonts w:asciiTheme="minorHAnsi" w:hAnsiTheme="minorHAnsi"/>
          <w:color w:val="000000"/>
        </w:rPr>
      </w:pPr>
      <w:r w:rsidRPr="00AE3DC0">
        <w:rPr>
          <w:rFonts w:asciiTheme="minorHAnsi" w:hAnsiTheme="minorHAnsi"/>
          <w:color w:val="000000"/>
        </w:rPr>
        <w:t>resulting in a normalized index where higher values indicate greater adaptive capacity.</w:t>
      </w:r>
    </w:p>
    <w:p w14:paraId="03AA5655" w14:textId="12C3DD35" w:rsidR="00AE3DC0" w:rsidRPr="00AE3DC0" w:rsidRDefault="00AE3DC0" w:rsidP="00AE3DC0">
      <w:pPr>
        <w:pStyle w:val="Heading2"/>
      </w:pPr>
      <w:r w:rsidRPr="00AE3DC0">
        <w:t>Labor Market Impact</w:t>
      </w:r>
    </w:p>
    <w:p w14:paraId="22789814" w14:textId="6987C90C" w:rsidR="00AE3DC0" w:rsidRDefault="00AE3DC0" w:rsidP="00AE3DC0">
      <w:pPr>
        <w:pStyle w:val="NormalWeb"/>
        <w:rPr>
          <w:rFonts w:asciiTheme="minorHAnsi" w:hAnsiTheme="minorHAnsi"/>
          <w:color w:val="000000"/>
        </w:rPr>
      </w:pPr>
      <w:r w:rsidRPr="00AE3DC0">
        <w:rPr>
          <w:rFonts w:asciiTheme="minorHAnsi" w:hAnsiTheme="minorHAnsi"/>
          <w:color w:val="000000"/>
        </w:rPr>
        <w:t>To estimate how AI is affecting occupations, we apply the</w:t>
      </w:r>
      <w:r w:rsidRPr="00AE3DC0">
        <w:rPr>
          <w:rStyle w:val="apple-converted-space"/>
          <w:rFonts w:asciiTheme="minorHAnsi" w:eastAsiaTheme="majorEastAsia" w:hAnsiTheme="minorHAnsi"/>
          <w:color w:val="000000"/>
        </w:rPr>
        <w:t> </w:t>
      </w:r>
      <w:r w:rsidRPr="00AE3DC0">
        <w:rPr>
          <w:rStyle w:val="Strong"/>
          <w:rFonts w:asciiTheme="minorHAnsi" w:eastAsiaTheme="majorEastAsia" w:hAnsiTheme="minorHAnsi"/>
          <w:color w:val="000000"/>
        </w:rPr>
        <w:t>Synthetic Control Method (SCM)</w:t>
      </w:r>
      <w:r w:rsidRPr="00AE3DC0">
        <w:rPr>
          <w:rStyle w:val="apple-converted-space"/>
          <w:rFonts w:asciiTheme="minorHAnsi" w:eastAsiaTheme="majorEastAsia" w:hAnsiTheme="minorHAnsi"/>
          <w:color w:val="000000"/>
        </w:rPr>
        <w:t> </w:t>
      </w:r>
      <w:r w:rsidRPr="00AE3DC0">
        <w:rPr>
          <w:rFonts w:asciiTheme="minorHAnsi" w:hAnsiTheme="minorHAnsi"/>
          <w:color w:val="000000"/>
        </w:rPr>
        <w:t xml:space="preserve">to both employment and job posting data. This approach allows us to compare </w:t>
      </w:r>
      <w:r w:rsidRPr="00AE3DC0">
        <w:rPr>
          <w:rFonts w:asciiTheme="minorHAnsi" w:hAnsiTheme="minorHAnsi"/>
          <w:color w:val="000000"/>
        </w:rPr>
        <w:lastRenderedPageBreak/>
        <w:t>observed trends for high AI-exposed occupations to a data-driven counterfactual</w:t>
      </w:r>
      <w:r>
        <w:rPr>
          <w:rFonts w:asciiTheme="minorHAnsi" w:hAnsiTheme="minorHAnsi"/>
          <w:color w:val="000000"/>
        </w:rPr>
        <w:t xml:space="preserve"> (ie </w:t>
      </w:r>
      <w:r w:rsidRPr="00AE3DC0">
        <w:rPr>
          <w:rFonts w:asciiTheme="minorHAnsi" w:hAnsiTheme="minorHAnsi"/>
          <w:color w:val="000000"/>
        </w:rPr>
        <w:t>what would have likely occurred in the absence of recent advances in AI</w:t>
      </w:r>
      <w:r>
        <w:rPr>
          <w:rFonts w:asciiTheme="minorHAnsi" w:hAnsiTheme="minorHAnsi"/>
          <w:color w:val="000000"/>
        </w:rPr>
        <w:t>)</w:t>
      </w:r>
      <w:r w:rsidRPr="00AE3DC0">
        <w:rPr>
          <w:rFonts w:asciiTheme="minorHAnsi" w:hAnsiTheme="minorHAnsi"/>
          <w:color w:val="000000"/>
        </w:rPr>
        <w:t>.</w:t>
      </w:r>
    </w:p>
    <w:p w14:paraId="5A18387F" w14:textId="6DA1C232" w:rsidR="00AE3DC0" w:rsidRPr="00AE3DC0" w:rsidRDefault="00AE3DC0" w:rsidP="00AE3DC0">
      <w:pPr>
        <w:pStyle w:val="NormalWeb"/>
        <w:rPr>
          <w:rFonts w:asciiTheme="minorHAnsi" w:hAnsiTheme="minorHAnsi"/>
          <w:color w:val="000000"/>
        </w:rPr>
      </w:pPr>
      <w:r w:rsidRPr="00AE3DC0">
        <w:rPr>
          <w:rFonts w:asciiTheme="minorHAnsi" w:hAnsiTheme="minorHAnsi"/>
          <w:color w:val="000000"/>
        </w:rPr>
        <w:t xml:space="preserve">Employment estimates </w:t>
      </w:r>
      <w:r>
        <w:rPr>
          <w:rFonts w:asciiTheme="minorHAnsi" w:hAnsiTheme="minorHAnsi"/>
          <w:color w:val="000000"/>
        </w:rPr>
        <w:t>were</w:t>
      </w:r>
      <w:r w:rsidRPr="00AE3DC0">
        <w:rPr>
          <w:rFonts w:asciiTheme="minorHAnsi" w:hAnsiTheme="minorHAnsi"/>
          <w:color w:val="000000"/>
        </w:rPr>
        <w:t xml:space="preserve"> derived from</w:t>
      </w:r>
      <w:r w:rsidRPr="00AE3DC0">
        <w:rPr>
          <w:rStyle w:val="apple-converted-space"/>
          <w:rFonts w:asciiTheme="minorHAnsi" w:eastAsiaTheme="majorEastAsia" w:hAnsiTheme="minorHAnsi"/>
          <w:color w:val="000000"/>
        </w:rPr>
        <w:t> </w:t>
      </w:r>
      <w:proofErr w:type="spellStart"/>
      <w:r w:rsidRPr="00AE3DC0">
        <w:rPr>
          <w:rStyle w:val="whitespace-normal"/>
          <w:rFonts w:asciiTheme="minorHAnsi" w:eastAsiaTheme="majorEastAsia" w:hAnsiTheme="minorHAnsi"/>
          <w:color w:val="000000"/>
        </w:rPr>
        <w:t>Lightcast</w:t>
      </w:r>
      <w:proofErr w:type="spellEnd"/>
      <w:r w:rsidRPr="00AE3DC0">
        <w:rPr>
          <w:rStyle w:val="apple-converted-space"/>
          <w:rFonts w:asciiTheme="minorHAnsi" w:eastAsiaTheme="majorEastAsia" w:hAnsiTheme="minorHAnsi"/>
          <w:b/>
          <w:bCs/>
          <w:color w:val="000000"/>
        </w:rPr>
        <w:t> </w:t>
      </w:r>
      <w:r w:rsidRPr="00AE3DC0">
        <w:rPr>
          <w:rStyle w:val="Strong"/>
          <w:rFonts w:asciiTheme="minorHAnsi" w:eastAsiaTheme="majorEastAsia" w:hAnsiTheme="minorHAnsi"/>
          <w:b w:val="0"/>
          <w:bCs w:val="0"/>
          <w:color w:val="000000"/>
        </w:rPr>
        <w:t>OES time series data</w:t>
      </w:r>
      <w:r w:rsidRPr="00AE3DC0">
        <w:rPr>
          <w:rFonts w:asciiTheme="minorHAnsi" w:hAnsiTheme="minorHAnsi"/>
          <w:color w:val="000000"/>
        </w:rPr>
        <w:t xml:space="preserve">, which integrates federal Occupational Employment and Wage Statistics (OEWS) with additional modeling to produce consistent, time-indexed occupation-level employment estimates. Job posting data are sourced from </w:t>
      </w:r>
      <w:proofErr w:type="spellStart"/>
      <w:r w:rsidRPr="00AE3DC0">
        <w:rPr>
          <w:rFonts w:asciiTheme="minorHAnsi" w:hAnsiTheme="minorHAnsi"/>
          <w:color w:val="000000"/>
        </w:rPr>
        <w:t>Lightcast’s</w:t>
      </w:r>
      <w:proofErr w:type="spellEnd"/>
      <w:r w:rsidRPr="00AE3DC0">
        <w:rPr>
          <w:rFonts w:asciiTheme="minorHAnsi" w:hAnsiTheme="minorHAnsi"/>
          <w:color w:val="000000"/>
        </w:rPr>
        <w:t xml:space="preserve"> Job Posting Analytics database, which aggregates postings from thousands of online sources and applies deduplication and occupational coding.</w:t>
      </w:r>
    </w:p>
    <w:p w14:paraId="17ED98F8" w14:textId="21747584" w:rsidR="00AE3DC0" w:rsidRPr="00AE3DC0" w:rsidRDefault="00AE3DC0" w:rsidP="00AE3DC0">
      <w:pPr>
        <w:pStyle w:val="NormalWeb"/>
        <w:rPr>
          <w:rFonts w:asciiTheme="minorHAnsi" w:hAnsiTheme="minorHAnsi"/>
          <w:color w:val="000000"/>
        </w:rPr>
      </w:pPr>
      <w:r w:rsidRPr="00AE3DC0">
        <w:rPr>
          <w:rFonts w:asciiTheme="minorHAnsi" w:hAnsiTheme="minorHAnsi"/>
          <w:color w:val="000000"/>
        </w:rPr>
        <w:t xml:space="preserve">Occupations </w:t>
      </w:r>
      <w:r>
        <w:rPr>
          <w:rFonts w:asciiTheme="minorHAnsi" w:hAnsiTheme="minorHAnsi"/>
          <w:color w:val="000000"/>
        </w:rPr>
        <w:t>were</w:t>
      </w:r>
      <w:r w:rsidRPr="00AE3DC0">
        <w:rPr>
          <w:rFonts w:asciiTheme="minorHAnsi" w:hAnsiTheme="minorHAnsi"/>
          <w:color w:val="000000"/>
        </w:rPr>
        <w:t xml:space="preserve"> first classified by AI exposure using our composite AI Risk measure. Occupations in the “High” and “Very High” categories are considered</w:t>
      </w:r>
      <w:r w:rsidRPr="00AE3DC0">
        <w:rPr>
          <w:rStyle w:val="apple-converted-space"/>
          <w:rFonts w:asciiTheme="minorHAnsi" w:eastAsiaTheme="majorEastAsia" w:hAnsiTheme="minorHAnsi"/>
          <w:color w:val="000000"/>
        </w:rPr>
        <w:t> </w:t>
      </w:r>
      <w:r w:rsidRPr="00AE3DC0">
        <w:rPr>
          <w:rStyle w:val="Strong"/>
          <w:rFonts w:asciiTheme="minorHAnsi" w:eastAsiaTheme="majorEastAsia" w:hAnsiTheme="minorHAnsi"/>
          <w:b w:val="0"/>
          <w:bCs w:val="0"/>
          <w:color w:val="000000"/>
        </w:rPr>
        <w:t>treated units</w:t>
      </w:r>
      <w:r w:rsidRPr="00AE3DC0">
        <w:rPr>
          <w:rFonts w:asciiTheme="minorHAnsi" w:hAnsiTheme="minorHAnsi"/>
          <w:color w:val="000000"/>
        </w:rPr>
        <w:t>, representing those most exposed to AI capabilities. A</w:t>
      </w:r>
      <w:r w:rsidRPr="00AE3DC0">
        <w:rPr>
          <w:rStyle w:val="apple-converted-space"/>
          <w:rFonts w:asciiTheme="minorHAnsi" w:eastAsiaTheme="majorEastAsia" w:hAnsiTheme="minorHAnsi"/>
          <w:color w:val="000000"/>
        </w:rPr>
        <w:t> </w:t>
      </w:r>
      <w:r w:rsidRPr="00AE3DC0">
        <w:rPr>
          <w:rStyle w:val="Strong"/>
          <w:rFonts w:asciiTheme="minorHAnsi" w:eastAsiaTheme="majorEastAsia" w:hAnsiTheme="minorHAnsi"/>
          <w:b w:val="0"/>
          <w:bCs w:val="0"/>
          <w:color w:val="000000"/>
        </w:rPr>
        <w:t>donor pool</w:t>
      </w:r>
      <w:r w:rsidRPr="00AE3DC0">
        <w:rPr>
          <w:rStyle w:val="apple-converted-space"/>
          <w:rFonts w:asciiTheme="minorHAnsi" w:eastAsiaTheme="majorEastAsia" w:hAnsiTheme="minorHAnsi"/>
          <w:color w:val="000000"/>
        </w:rPr>
        <w:t> </w:t>
      </w:r>
      <w:r w:rsidRPr="00AE3DC0">
        <w:rPr>
          <w:rFonts w:asciiTheme="minorHAnsi" w:hAnsiTheme="minorHAnsi"/>
          <w:color w:val="000000"/>
        </w:rPr>
        <w:t>of lower-exposure occupations (Medium, Low, and Very Low) is then constructed to serve as potential comparison units.</w:t>
      </w:r>
    </w:p>
    <w:p w14:paraId="11121E6A" w14:textId="0BCD1409" w:rsidR="00AE3DC0" w:rsidRPr="00AE3DC0" w:rsidRDefault="00AE3DC0" w:rsidP="00AE3DC0">
      <w:pPr>
        <w:pStyle w:val="NormalWeb"/>
        <w:rPr>
          <w:rFonts w:asciiTheme="minorHAnsi" w:hAnsiTheme="minorHAnsi"/>
          <w:color w:val="000000"/>
        </w:rPr>
      </w:pPr>
      <w:r w:rsidRPr="00AE3DC0">
        <w:rPr>
          <w:rFonts w:asciiTheme="minorHAnsi" w:hAnsiTheme="minorHAnsi"/>
          <w:color w:val="000000"/>
        </w:rPr>
        <w:t>To ensure comparability, donor occupations are restricted to those with similar pre-period trends in employment or postings and are drawn from the same major occupational groups.</w:t>
      </w:r>
    </w:p>
    <w:p w14:paraId="5D57159A" w14:textId="4DD892A9" w:rsidR="00AE3DC0" w:rsidRPr="00AE3DC0" w:rsidRDefault="00AE3DC0" w:rsidP="00AE3DC0">
      <w:pPr>
        <w:pStyle w:val="NormalWeb"/>
        <w:rPr>
          <w:rFonts w:asciiTheme="minorHAnsi" w:hAnsiTheme="minorHAnsi"/>
          <w:color w:val="000000"/>
        </w:rPr>
      </w:pPr>
      <w:r w:rsidRPr="00AE3DC0">
        <w:rPr>
          <w:rFonts w:asciiTheme="minorHAnsi" w:hAnsiTheme="minorHAnsi"/>
          <w:color w:val="000000"/>
        </w:rPr>
        <w:t>For each high-exposure occupation, SCM creates a</w:t>
      </w:r>
      <w:r w:rsidRPr="00AE3DC0">
        <w:rPr>
          <w:rStyle w:val="apple-converted-space"/>
          <w:rFonts w:asciiTheme="minorHAnsi" w:eastAsiaTheme="majorEastAsia" w:hAnsiTheme="minorHAnsi"/>
          <w:color w:val="000000"/>
        </w:rPr>
        <w:t> </w:t>
      </w:r>
      <w:r w:rsidRPr="00AE3DC0">
        <w:rPr>
          <w:rStyle w:val="Strong"/>
          <w:rFonts w:asciiTheme="minorHAnsi" w:eastAsiaTheme="majorEastAsia" w:hAnsiTheme="minorHAnsi"/>
          <w:b w:val="0"/>
          <w:bCs w:val="0"/>
          <w:color w:val="000000"/>
        </w:rPr>
        <w:t>synthetic control</w:t>
      </w:r>
      <w:r>
        <w:rPr>
          <w:rFonts w:asciiTheme="minorHAnsi" w:hAnsiTheme="minorHAnsi"/>
          <w:color w:val="000000"/>
        </w:rPr>
        <w:t xml:space="preserve">, </w:t>
      </w:r>
      <w:r w:rsidRPr="00AE3DC0">
        <w:rPr>
          <w:rFonts w:asciiTheme="minorHAnsi" w:hAnsiTheme="minorHAnsi"/>
          <w:color w:val="000000"/>
        </w:rPr>
        <w:t>a weighted combination of lower-exposure occupations that closely matches the treated occupation’s pre-AI trend. These weights are optimized so that the synthetic control reproduces the treated occupation’s trajectory prior to the widespread adoption of modern AI systems.</w:t>
      </w:r>
    </w:p>
    <w:p w14:paraId="7B966604" w14:textId="120BEE56" w:rsidR="00AE3DC0" w:rsidRPr="00AE3DC0" w:rsidRDefault="00AE3DC0" w:rsidP="00AE3DC0">
      <w:pPr>
        <w:pStyle w:val="NormalWeb"/>
        <w:rPr>
          <w:rFonts w:asciiTheme="minorHAnsi" w:hAnsiTheme="minorHAnsi"/>
          <w:color w:val="000000"/>
        </w:rPr>
      </w:pPr>
      <w:r w:rsidRPr="00AE3DC0">
        <w:rPr>
          <w:rFonts w:asciiTheme="minorHAnsi" w:hAnsiTheme="minorHAnsi"/>
          <w:color w:val="000000"/>
        </w:rPr>
        <w:t>The</w:t>
      </w:r>
      <w:r w:rsidRPr="00AE3DC0">
        <w:rPr>
          <w:rStyle w:val="apple-converted-space"/>
          <w:rFonts w:asciiTheme="minorHAnsi" w:eastAsiaTheme="majorEastAsia" w:hAnsiTheme="minorHAnsi"/>
          <w:color w:val="000000"/>
        </w:rPr>
        <w:t> </w:t>
      </w:r>
      <w:r w:rsidRPr="00AE3DC0">
        <w:rPr>
          <w:rStyle w:val="Strong"/>
          <w:rFonts w:asciiTheme="minorHAnsi" w:eastAsiaTheme="majorEastAsia" w:hAnsiTheme="minorHAnsi"/>
          <w:b w:val="0"/>
          <w:bCs w:val="0"/>
          <w:color w:val="000000"/>
        </w:rPr>
        <w:t>treatment period</w:t>
      </w:r>
      <w:r w:rsidRPr="00AE3DC0">
        <w:rPr>
          <w:rStyle w:val="apple-converted-space"/>
          <w:rFonts w:asciiTheme="minorHAnsi" w:eastAsiaTheme="majorEastAsia" w:hAnsiTheme="minorHAnsi"/>
          <w:color w:val="000000"/>
        </w:rPr>
        <w:t> </w:t>
      </w:r>
      <w:r w:rsidRPr="00AE3DC0">
        <w:rPr>
          <w:rFonts w:asciiTheme="minorHAnsi" w:hAnsiTheme="minorHAnsi"/>
          <w:color w:val="000000"/>
        </w:rPr>
        <w:t xml:space="preserve">is defined as beginning </w:t>
      </w:r>
      <w:r>
        <w:rPr>
          <w:rFonts w:asciiTheme="minorHAnsi" w:hAnsiTheme="minorHAnsi"/>
          <w:color w:val="000000"/>
        </w:rPr>
        <w:t>following</w:t>
      </w:r>
      <w:r w:rsidRPr="00AE3DC0">
        <w:rPr>
          <w:rFonts w:asciiTheme="minorHAnsi" w:hAnsiTheme="minorHAnsi"/>
          <w:color w:val="000000"/>
        </w:rPr>
        <w:t xml:space="preserve"> 2022, corresponding with the rapid diffusion of large language models such as</w:t>
      </w:r>
      <w:r w:rsidRPr="00AE3DC0">
        <w:rPr>
          <w:rStyle w:val="apple-converted-space"/>
          <w:rFonts w:asciiTheme="minorHAnsi" w:eastAsiaTheme="majorEastAsia" w:hAnsiTheme="minorHAnsi"/>
          <w:color w:val="000000"/>
        </w:rPr>
        <w:t> </w:t>
      </w:r>
      <w:r w:rsidRPr="00AE3DC0">
        <w:rPr>
          <w:rStyle w:val="whitespace-normal"/>
          <w:rFonts w:asciiTheme="minorHAnsi" w:eastAsiaTheme="majorEastAsia" w:hAnsiTheme="minorHAnsi"/>
          <w:color w:val="000000"/>
        </w:rPr>
        <w:t>ChatGPT</w:t>
      </w:r>
      <w:r w:rsidRPr="00AE3DC0">
        <w:rPr>
          <w:rFonts w:asciiTheme="minorHAnsi" w:hAnsiTheme="minorHAnsi"/>
          <w:color w:val="000000"/>
        </w:rPr>
        <w:t>.</w:t>
      </w:r>
      <w:r>
        <w:rPr>
          <w:rFonts w:asciiTheme="minorHAnsi" w:hAnsiTheme="minorHAnsi"/>
          <w:color w:val="000000"/>
        </w:rPr>
        <w:t xml:space="preserve"> </w:t>
      </w:r>
      <w:r w:rsidRPr="00AE3DC0">
        <w:rPr>
          <w:rFonts w:asciiTheme="minorHAnsi" w:hAnsiTheme="minorHAnsi"/>
          <w:color w:val="000000"/>
        </w:rPr>
        <w:t>After constructing the synthetic control, we compare</w:t>
      </w:r>
      <w:r>
        <w:rPr>
          <w:rFonts w:asciiTheme="minorHAnsi" w:hAnsiTheme="minorHAnsi"/>
          <w:color w:val="000000"/>
        </w:rPr>
        <w:t>d</w:t>
      </w:r>
      <w:r w:rsidRPr="00AE3DC0">
        <w:rPr>
          <w:rFonts w:asciiTheme="minorHAnsi" w:hAnsiTheme="minorHAnsi"/>
          <w:color w:val="000000"/>
        </w:rPr>
        <w:t xml:space="preserve"> observed outcomes to the counterfactual:</w:t>
      </w:r>
    </w:p>
    <w:p w14:paraId="53D4A5EE" w14:textId="77777777" w:rsidR="00AE3DC0" w:rsidRPr="00AE3DC0" w:rsidRDefault="00AE3DC0" w:rsidP="00AE3DC0">
      <w:pPr>
        <w:numPr>
          <w:ilvl w:val="0"/>
          <w:numId w:val="16"/>
        </w:numPr>
        <w:spacing w:before="100" w:beforeAutospacing="1" w:after="100" w:afterAutospacing="1" w:line="240" w:lineRule="auto"/>
        <w:rPr>
          <w:color w:val="000000"/>
        </w:rPr>
      </w:pPr>
      <w:r w:rsidRPr="00AE3DC0">
        <w:rPr>
          <w:rStyle w:val="Strong"/>
          <w:b w:val="0"/>
          <w:bCs w:val="0"/>
          <w:color w:val="000000"/>
        </w:rPr>
        <w:t>Employment impact:</w:t>
      </w:r>
      <w:r w:rsidRPr="00AE3DC0">
        <w:rPr>
          <w:rStyle w:val="apple-converted-space"/>
          <w:color w:val="000000"/>
        </w:rPr>
        <w:t> </w:t>
      </w:r>
      <w:r w:rsidRPr="00AE3DC0">
        <w:rPr>
          <w:color w:val="000000"/>
        </w:rPr>
        <w:t xml:space="preserve">Difference between actual and synthetic employment levels using </w:t>
      </w:r>
      <w:proofErr w:type="spellStart"/>
      <w:r w:rsidRPr="00AE3DC0">
        <w:rPr>
          <w:color w:val="000000"/>
        </w:rPr>
        <w:t>Lightcast</w:t>
      </w:r>
      <w:proofErr w:type="spellEnd"/>
      <w:r w:rsidRPr="00AE3DC0">
        <w:rPr>
          <w:color w:val="000000"/>
        </w:rPr>
        <w:t xml:space="preserve"> OES data</w:t>
      </w:r>
    </w:p>
    <w:p w14:paraId="1FEE8CAE" w14:textId="77777777" w:rsidR="00AE3DC0" w:rsidRPr="00AE3DC0" w:rsidRDefault="00AE3DC0" w:rsidP="00AE3DC0">
      <w:pPr>
        <w:numPr>
          <w:ilvl w:val="0"/>
          <w:numId w:val="16"/>
        </w:numPr>
        <w:spacing w:before="100" w:beforeAutospacing="1" w:after="100" w:afterAutospacing="1" w:line="240" w:lineRule="auto"/>
        <w:rPr>
          <w:color w:val="000000"/>
        </w:rPr>
      </w:pPr>
      <w:r w:rsidRPr="00AE3DC0">
        <w:rPr>
          <w:rStyle w:val="Strong"/>
          <w:b w:val="0"/>
          <w:bCs w:val="0"/>
          <w:color w:val="000000"/>
        </w:rPr>
        <w:t>Demand impact:</w:t>
      </w:r>
      <w:r w:rsidRPr="00AE3DC0">
        <w:rPr>
          <w:rStyle w:val="apple-converted-space"/>
          <w:color w:val="000000"/>
        </w:rPr>
        <w:t> </w:t>
      </w:r>
      <w:r w:rsidRPr="00AE3DC0">
        <w:rPr>
          <w:color w:val="000000"/>
        </w:rPr>
        <w:t>Difference in job postings relative to the synthetic trend</w:t>
      </w:r>
    </w:p>
    <w:p w14:paraId="1D97B44C" w14:textId="188C9CBA" w:rsidR="00AE3DC0" w:rsidRPr="00AE3DC0" w:rsidRDefault="00AE3DC0" w:rsidP="00AE3DC0">
      <w:pPr>
        <w:pStyle w:val="NormalWeb"/>
        <w:rPr>
          <w:rFonts w:asciiTheme="minorHAnsi" w:hAnsiTheme="minorHAnsi"/>
          <w:color w:val="000000"/>
        </w:rPr>
      </w:pPr>
      <w:r w:rsidRPr="00AE3DC0">
        <w:rPr>
          <w:rFonts w:asciiTheme="minorHAnsi" w:hAnsiTheme="minorHAnsi"/>
          <w:color w:val="000000"/>
        </w:rPr>
        <w:t xml:space="preserve">These differences </w:t>
      </w:r>
      <w:r>
        <w:rPr>
          <w:rFonts w:asciiTheme="minorHAnsi" w:hAnsiTheme="minorHAnsi"/>
          <w:color w:val="000000"/>
        </w:rPr>
        <w:t>were</w:t>
      </w:r>
      <w:r w:rsidRPr="00AE3DC0">
        <w:rPr>
          <w:rFonts w:asciiTheme="minorHAnsi" w:hAnsiTheme="minorHAnsi"/>
          <w:color w:val="000000"/>
        </w:rPr>
        <w:t xml:space="preserve"> interpreted as</w:t>
      </w:r>
      <w:r w:rsidRPr="00AE3DC0">
        <w:rPr>
          <w:rStyle w:val="apple-converted-space"/>
          <w:rFonts w:asciiTheme="minorHAnsi" w:eastAsiaTheme="majorEastAsia" w:hAnsiTheme="minorHAnsi"/>
          <w:color w:val="000000"/>
        </w:rPr>
        <w:t> </w:t>
      </w:r>
      <w:r w:rsidRPr="00AE3DC0">
        <w:rPr>
          <w:rStyle w:val="Strong"/>
          <w:rFonts w:asciiTheme="minorHAnsi" w:eastAsiaTheme="majorEastAsia" w:hAnsiTheme="minorHAnsi"/>
          <w:b w:val="0"/>
          <w:bCs w:val="0"/>
          <w:color w:val="000000"/>
        </w:rPr>
        <w:t>AI-associated deviations</w:t>
      </w:r>
      <w:r w:rsidRPr="00AE3DC0">
        <w:rPr>
          <w:rFonts w:asciiTheme="minorHAnsi" w:hAnsiTheme="minorHAnsi"/>
          <w:color w:val="000000"/>
        </w:rPr>
        <w:t>, capturing whether high-exposure occupations experienced relative declines, stability, or growth compared to similar, lower-exposure occupations.</w:t>
      </w:r>
    </w:p>
    <w:p w14:paraId="4A066960" w14:textId="1205B170" w:rsidR="00AE3DC0" w:rsidRPr="00AE3DC0" w:rsidRDefault="00AE3DC0" w:rsidP="00AE3DC0">
      <w:pPr>
        <w:pStyle w:val="NormalWeb"/>
        <w:rPr>
          <w:rFonts w:asciiTheme="minorHAnsi" w:hAnsiTheme="minorHAnsi"/>
          <w:color w:val="000000"/>
        </w:rPr>
      </w:pPr>
      <w:r w:rsidRPr="00AE3DC0">
        <w:rPr>
          <w:rFonts w:asciiTheme="minorHAnsi" w:hAnsiTheme="minorHAnsi"/>
          <w:color w:val="000000"/>
        </w:rPr>
        <w:t>We assess model quality using standard SCM diagnostics, including pre-period fit and placebo tests applied to donor occupations. Results are interpreted cautiously: SCM estimates reflect</w:t>
      </w:r>
      <w:r w:rsidRPr="00AE3DC0">
        <w:rPr>
          <w:rStyle w:val="apple-converted-space"/>
          <w:rFonts w:asciiTheme="minorHAnsi" w:eastAsiaTheme="majorEastAsia" w:hAnsiTheme="minorHAnsi"/>
          <w:color w:val="000000"/>
        </w:rPr>
        <w:t> </w:t>
      </w:r>
      <w:r w:rsidRPr="00AE3DC0">
        <w:rPr>
          <w:rStyle w:val="Strong"/>
          <w:rFonts w:asciiTheme="minorHAnsi" w:eastAsiaTheme="majorEastAsia" w:hAnsiTheme="minorHAnsi"/>
          <w:b w:val="0"/>
          <w:bCs w:val="0"/>
          <w:color w:val="000000"/>
        </w:rPr>
        <w:t>relative changes</w:t>
      </w:r>
      <w:r w:rsidRPr="00AE3DC0">
        <w:rPr>
          <w:rFonts w:asciiTheme="minorHAnsi" w:hAnsiTheme="minorHAnsi"/>
          <w:color w:val="000000"/>
        </w:rPr>
        <w:t>, not absolute causal effects, and should be understood as indicative of divergence from expected trends rather than definitive measures of displacement.</w:t>
      </w:r>
    </w:p>
    <w:p w14:paraId="7DDC9B32" w14:textId="6D97BEB4" w:rsidR="00AE3DC0" w:rsidRPr="00AE3DC0" w:rsidRDefault="00AE3DC0" w:rsidP="00AE3DC0">
      <w:pPr>
        <w:pStyle w:val="Heading3"/>
      </w:pPr>
      <w:r w:rsidRPr="00AE3DC0">
        <w:rPr>
          <w:rStyle w:val="Strong"/>
          <w:b w:val="0"/>
          <w:bCs w:val="0"/>
        </w:rPr>
        <w:lastRenderedPageBreak/>
        <w:t>Integrati</w:t>
      </w:r>
      <w:r>
        <w:rPr>
          <w:rStyle w:val="Strong"/>
          <w:b w:val="0"/>
          <w:bCs w:val="0"/>
        </w:rPr>
        <w:t>ng Exposures</w:t>
      </w:r>
    </w:p>
    <w:p w14:paraId="133ABCF6" w14:textId="66E61689" w:rsidR="00AE3DC0" w:rsidRPr="00AE3DC0" w:rsidRDefault="00AE3DC0" w:rsidP="00AE3DC0">
      <w:pPr>
        <w:pStyle w:val="NormalWeb"/>
        <w:rPr>
          <w:rFonts w:asciiTheme="minorHAnsi" w:hAnsiTheme="minorHAnsi"/>
          <w:color w:val="000000"/>
        </w:rPr>
      </w:pPr>
      <w:r>
        <w:rPr>
          <w:rFonts w:asciiTheme="minorHAnsi" w:hAnsiTheme="minorHAnsi"/>
          <w:color w:val="000000"/>
        </w:rPr>
        <w:t xml:space="preserve">AI exposure, adaptive capacity and </w:t>
      </w:r>
      <w:r w:rsidRPr="00AE3DC0">
        <w:rPr>
          <w:rFonts w:asciiTheme="minorHAnsi" w:hAnsiTheme="minorHAnsi"/>
          <w:color w:val="000000"/>
        </w:rPr>
        <w:t>observed labor market changes</w:t>
      </w:r>
      <w:r>
        <w:rPr>
          <w:rFonts w:asciiTheme="minorHAnsi" w:hAnsiTheme="minorHAnsi"/>
          <w:color w:val="000000"/>
        </w:rPr>
        <w:t xml:space="preserve"> were combined to</w:t>
      </w:r>
      <w:r w:rsidRPr="00AE3DC0">
        <w:rPr>
          <w:rFonts w:asciiTheme="minorHAnsi" w:hAnsiTheme="minorHAnsi"/>
          <w:color w:val="000000"/>
        </w:rPr>
        <w:t xml:space="preserve"> assess occupational vulnerability</w:t>
      </w:r>
      <w:r>
        <w:rPr>
          <w:rFonts w:asciiTheme="minorHAnsi" w:hAnsiTheme="minorHAnsi"/>
          <w:color w:val="000000"/>
        </w:rPr>
        <w:t xml:space="preserve"> to AI</w:t>
      </w:r>
      <w:r w:rsidRPr="00AE3DC0">
        <w:rPr>
          <w:rFonts w:asciiTheme="minorHAnsi" w:hAnsiTheme="minorHAnsi"/>
          <w:color w:val="000000"/>
        </w:rPr>
        <w:t>. Let:</w:t>
      </w:r>
    </w:p>
    <w:p w14:paraId="4F6FDD24" w14:textId="77777777" w:rsidR="00AE3DC0" w:rsidRPr="00AE3DC0" w:rsidRDefault="00000000" w:rsidP="00AE3DC0">
      <w:pPr>
        <w:numPr>
          <w:ilvl w:val="0"/>
          <w:numId w:val="14"/>
        </w:numPr>
        <w:spacing w:before="100" w:beforeAutospacing="1" w:after="100" w:afterAutospacing="1" w:line="240" w:lineRule="auto"/>
        <w:rPr>
          <w:color w:val="000000"/>
        </w:rPr>
      </w:pPr>
      <m:oMath>
        <m:sSub>
          <m:sSubPr>
            <m:ctrlPr>
              <w:rPr>
                <w:rFonts w:ascii="Cambria Math" w:hAnsi="Cambria Math"/>
              </w:rPr>
            </m:ctrlPr>
          </m:sSubPr>
          <m:e>
            <m:r>
              <w:rPr>
                <w:rFonts w:ascii="Cambria Math" w:hAnsi="Cambria Math"/>
              </w:rPr>
              <m:t>E</m:t>
            </m:r>
          </m:e>
          <m:sub>
            <m:r>
              <w:rPr>
                <w:rFonts w:ascii="Cambria Math" w:hAnsi="Cambria Math"/>
              </w:rPr>
              <m:t>o</m:t>
            </m:r>
          </m:sub>
        </m:sSub>
      </m:oMath>
      <w:r w:rsidR="00AE3DC0" w:rsidRPr="00AE3DC0">
        <w:rPr>
          <w:rStyle w:val="apple-converted-space"/>
          <w:color w:val="000000"/>
        </w:rPr>
        <w:t> </w:t>
      </w:r>
      <w:r w:rsidR="00AE3DC0" w:rsidRPr="00AE3DC0">
        <w:rPr>
          <w:color w:val="000000"/>
        </w:rPr>
        <w:t>denote AI exposure for occupation</w:t>
      </w:r>
      <w:r w:rsidR="00AE3DC0" w:rsidRPr="00AE3DC0">
        <w:rPr>
          <w:rStyle w:val="apple-converted-space"/>
          <w:color w:val="000000"/>
        </w:rPr>
        <w:t> </w:t>
      </w:r>
      <m:oMath>
        <m:r>
          <w:rPr>
            <w:rFonts w:ascii="Cambria Math" w:hAnsi="Cambria Math"/>
          </w:rPr>
          <m:t>o</m:t>
        </m:r>
      </m:oMath>
      <w:r w:rsidR="00AE3DC0" w:rsidRPr="00AE3DC0">
        <w:rPr>
          <w:color w:val="000000"/>
        </w:rPr>
        <w:t>, derived from task-based measures (e.g., share of tasks exposed),</w:t>
      </w:r>
    </w:p>
    <w:p w14:paraId="11839BA0" w14:textId="77777777" w:rsidR="00AE3DC0" w:rsidRPr="00AE3DC0" w:rsidRDefault="00AE3DC0" w:rsidP="00AE3DC0">
      <w:pPr>
        <w:numPr>
          <w:ilvl w:val="0"/>
          <w:numId w:val="14"/>
        </w:numPr>
        <w:spacing w:before="100" w:beforeAutospacing="1" w:after="100" w:afterAutospacing="1" w:line="240" w:lineRule="auto"/>
        <w:rPr>
          <w:color w:val="000000"/>
        </w:rPr>
      </w:pPr>
      <m:oMath>
        <m:r>
          <w:rPr>
            <w:rFonts w:ascii="Cambria Math" w:hAnsi="Cambria Math"/>
          </w:rPr>
          <m:t>L</m:t>
        </m:r>
        <m:sSub>
          <m:sSubPr>
            <m:ctrlPr>
              <w:rPr>
                <w:rFonts w:ascii="Cambria Math" w:hAnsi="Cambria Math"/>
              </w:rPr>
            </m:ctrlPr>
          </m:sSubPr>
          <m:e>
            <m:r>
              <w:rPr>
                <w:rFonts w:ascii="Cambria Math" w:hAnsi="Cambria Math"/>
              </w:rPr>
              <m:t>M</m:t>
            </m:r>
          </m:e>
          <m:sub>
            <m:r>
              <w:rPr>
                <w:rFonts w:ascii="Cambria Math" w:hAnsi="Cambria Math"/>
              </w:rPr>
              <m:t>o</m:t>
            </m:r>
          </m:sub>
        </m:sSub>
      </m:oMath>
      <w:r w:rsidRPr="00AE3DC0">
        <w:rPr>
          <w:rStyle w:val="apple-converted-space"/>
          <w:color w:val="000000"/>
        </w:rPr>
        <w:t> </w:t>
      </w:r>
      <w:r w:rsidRPr="00AE3DC0">
        <w:rPr>
          <w:color w:val="000000"/>
        </w:rPr>
        <w:t>denote labor market change indicators (e.g., percent change in employment or job postings), and</w:t>
      </w:r>
    </w:p>
    <w:p w14:paraId="00F61209" w14:textId="77777777" w:rsidR="00AE3DC0" w:rsidRPr="00AE3DC0" w:rsidRDefault="00AE3DC0" w:rsidP="00AE3DC0">
      <w:pPr>
        <w:numPr>
          <w:ilvl w:val="0"/>
          <w:numId w:val="14"/>
        </w:numPr>
        <w:spacing w:before="100" w:beforeAutospacing="1" w:after="100" w:afterAutospacing="1" w:line="240" w:lineRule="auto"/>
        <w:rPr>
          <w:color w:val="000000"/>
        </w:rPr>
      </w:pPr>
      <m:oMath>
        <m:r>
          <w:rPr>
            <w:rFonts w:ascii="Cambria Math" w:hAnsi="Cambria Math"/>
          </w:rPr>
          <m:t>A</m:t>
        </m:r>
        <m:sSub>
          <m:sSubPr>
            <m:ctrlPr>
              <w:rPr>
                <w:rFonts w:ascii="Cambria Math" w:hAnsi="Cambria Math"/>
              </w:rPr>
            </m:ctrlPr>
          </m:sSubPr>
          <m:e>
            <m:r>
              <w:rPr>
                <w:rFonts w:ascii="Cambria Math" w:hAnsi="Cambria Math"/>
              </w:rPr>
              <m:t>C</m:t>
            </m:r>
          </m:e>
          <m:sub>
            <m:r>
              <w:rPr>
                <w:rFonts w:ascii="Cambria Math" w:hAnsi="Cambria Math"/>
              </w:rPr>
              <m:t>o</m:t>
            </m:r>
          </m:sub>
        </m:sSub>
      </m:oMath>
      <w:r w:rsidRPr="00AE3DC0">
        <w:rPr>
          <w:rStyle w:val="apple-converted-space"/>
          <w:color w:val="000000"/>
        </w:rPr>
        <w:t> </w:t>
      </w:r>
      <w:r w:rsidRPr="00AE3DC0">
        <w:rPr>
          <w:color w:val="000000"/>
        </w:rPr>
        <w:t>denote adaptive capacity.</w:t>
      </w:r>
    </w:p>
    <w:p w14:paraId="7B1E8CA0" w14:textId="6A66A90E" w:rsidR="00AE3DC0" w:rsidRPr="00AE3DC0" w:rsidRDefault="00AE3DC0" w:rsidP="00AE3DC0">
      <w:pPr>
        <w:pStyle w:val="NormalWeb"/>
        <w:rPr>
          <w:rFonts w:asciiTheme="minorHAnsi" w:hAnsiTheme="minorHAnsi"/>
          <w:color w:val="000000"/>
        </w:rPr>
      </w:pPr>
      <w:r w:rsidRPr="00AE3DC0">
        <w:rPr>
          <w:rFonts w:asciiTheme="minorHAnsi" w:hAnsiTheme="minorHAnsi"/>
          <w:color w:val="000000"/>
        </w:rPr>
        <w:t>We define a composite</w:t>
      </w:r>
      <w:r w:rsidRPr="00AE3DC0">
        <w:rPr>
          <w:rStyle w:val="apple-converted-space"/>
          <w:rFonts w:asciiTheme="minorHAnsi" w:eastAsiaTheme="majorEastAsia" w:hAnsiTheme="minorHAnsi"/>
          <w:color w:val="000000"/>
        </w:rPr>
        <w:t> </w:t>
      </w:r>
      <w:r>
        <w:rPr>
          <w:rStyle w:val="apple-converted-space"/>
          <w:rFonts w:asciiTheme="minorHAnsi" w:eastAsiaTheme="majorEastAsia" w:hAnsiTheme="minorHAnsi"/>
          <w:b/>
          <w:bCs/>
          <w:color w:val="000000"/>
        </w:rPr>
        <w:t xml:space="preserve">AI </w:t>
      </w:r>
      <w:r w:rsidRPr="00AE3DC0">
        <w:rPr>
          <w:rStyle w:val="Strong"/>
          <w:rFonts w:asciiTheme="minorHAnsi" w:eastAsiaTheme="majorEastAsia" w:hAnsiTheme="minorHAnsi"/>
          <w:color w:val="000000"/>
        </w:rPr>
        <w:t>vulnerability index</w:t>
      </w:r>
      <w:r w:rsidRPr="00AE3DC0">
        <w:rPr>
          <w:rStyle w:val="apple-converted-space"/>
          <w:rFonts w:asciiTheme="minorHAnsi" w:eastAsiaTheme="majorEastAsia" w:hAnsiTheme="minorHAnsi"/>
          <w:color w:val="000000"/>
        </w:rPr>
        <w:t> </w:t>
      </w:r>
      <w:r w:rsidRPr="00AE3DC0">
        <w:rPr>
          <w:rFonts w:asciiTheme="minorHAnsi" w:hAnsiTheme="minorHAnsi"/>
          <w:color w:val="000000"/>
        </w:rPr>
        <w:t>as:</w:t>
      </w:r>
    </w:p>
    <w:p w14:paraId="5E05E084" w14:textId="77777777" w:rsidR="00AE3DC0" w:rsidRPr="00AE3DC0" w:rsidRDefault="00000000" w:rsidP="00AE3DC0">
      <m:oMathPara>
        <m:oMath>
          <m:sSub>
            <m:sSubPr>
              <m:ctrlPr>
                <w:rPr>
                  <w:rFonts w:ascii="Cambria Math" w:hAnsi="Cambria Math"/>
                </w:rPr>
              </m:ctrlPr>
            </m:sSubPr>
            <m:e>
              <m:r>
                <w:rPr>
                  <w:rFonts w:ascii="Cambria Math" w:hAnsi="Cambria Math"/>
                </w:rPr>
                <m:t>V</m:t>
              </m:r>
            </m:e>
            <m:sub>
              <m:r>
                <w:rPr>
                  <w:rFonts w:ascii="Cambria Math" w:hAnsi="Cambria Math"/>
                </w:rPr>
                <m:t>o</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o</m:t>
              </m:r>
            </m:sub>
          </m:sSub>
          <m:r>
            <w:rPr>
              <w:rFonts w:ascii="Cambria Math" w:hAnsi="Cambria Math"/>
            </w:rPr>
            <m:t>⋅(1-A</m:t>
          </m:r>
          <m:sSub>
            <m:sSubPr>
              <m:ctrlPr>
                <w:rPr>
                  <w:rFonts w:ascii="Cambria Math" w:hAnsi="Cambria Math"/>
                </w:rPr>
              </m:ctrlPr>
            </m:sSubPr>
            <m:e>
              <m:r>
                <w:rPr>
                  <w:rFonts w:ascii="Cambria Math" w:hAnsi="Cambria Math"/>
                </w:rPr>
                <m:t>C</m:t>
              </m:r>
            </m:e>
            <m:sub>
              <m:r>
                <w:rPr>
                  <w:rFonts w:ascii="Cambria Math" w:hAnsi="Cambria Math"/>
                </w:rPr>
                <m:t>o</m:t>
              </m:r>
            </m:sub>
          </m:sSub>
          <m:r>
            <w:rPr>
              <w:rFonts w:ascii="Cambria Math" w:hAnsi="Cambria Math"/>
            </w:rPr>
            <m:t>)</m:t>
          </m:r>
          <m:r>
            <w:br/>
          </m:r>
        </m:oMath>
      </m:oMathPara>
    </w:p>
    <w:p w14:paraId="22832011" w14:textId="77777777" w:rsidR="00AE3DC0" w:rsidRPr="00AE3DC0" w:rsidRDefault="00AE3DC0" w:rsidP="00AE3DC0">
      <w:pPr>
        <w:pStyle w:val="NormalWeb"/>
        <w:rPr>
          <w:rFonts w:asciiTheme="minorHAnsi" w:hAnsiTheme="minorHAnsi"/>
          <w:color w:val="000000"/>
        </w:rPr>
      </w:pPr>
      <w:r w:rsidRPr="00AE3DC0">
        <w:rPr>
          <w:rFonts w:asciiTheme="minorHAnsi" w:hAnsiTheme="minorHAnsi"/>
          <w:color w:val="000000"/>
        </w:rPr>
        <w:t>where:</w:t>
      </w:r>
    </w:p>
    <w:p w14:paraId="1B71E62C" w14:textId="77777777" w:rsidR="00AE3DC0" w:rsidRPr="00AE3DC0" w:rsidRDefault="00AE3DC0" w:rsidP="00AE3DC0">
      <w:pPr>
        <w:numPr>
          <w:ilvl w:val="0"/>
          <w:numId w:val="15"/>
        </w:numPr>
        <w:spacing w:before="100" w:beforeAutospacing="1" w:after="100" w:afterAutospacing="1" w:line="240" w:lineRule="auto"/>
        <w:rPr>
          <w:color w:val="000000"/>
        </w:rPr>
      </w:pPr>
      <w:r w:rsidRPr="00AE3DC0">
        <w:rPr>
          <w:color w:val="000000"/>
        </w:rPr>
        <w:t>Higher</w:t>
      </w:r>
      <w:r w:rsidRPr="00AE3DC0">
        <w:rPr>
          <w:rStyle w:val="apple-converted-space"/>
          <w:color w:val="000000"/>
        </w:rPr>
        <w:t> </w:t>
      </w:r>
      <m:oMath>
        <m:sSub>
          <m:sSubPr>
            <m:ctrlPr>
              <w:rPr>
                <w:rFonts w:ascii="Cambria Math" w:hAnsi="Cambria Math"/>
              </w:rPr>
            </m:ctrlPr>
          </m:sSubPr>
          <m:e>
            <m:r>
              <w:rPr>
                <w:rFonts w:ascii="Cambria Math" w:hAnsi="Cambria Math"/>
              </w:rPr>
              <m:t>E</m:t>
            </m:r>
          </m:e>
          <m:sub>
            <m:r>
              <w:rPr>
                <w:rFonts w:ascii="Cambria Math" w:hAnsi="Cambria Math"/>
              </w:rPr>
              <m:t>o</m:t>
            </m:r>
          </m:sub>
        </m:sSub>
      </m:oMath>
      <w:r w:rsidRPr="00AE3DC0">
        <w:rPr>
          <w:rStyle w:val="apple-converted-space"/>
          <w:color w:val="000000"/>
        </w:rPr>
        <w:t> </w:t>
      </w:r>
      <w:r w:rsidRPr="00AE3DC0">
        <w:rPr>
          <w:color w:val="000000"/>
        </w:rPr>
        <w:t>increases vulnerability,</w:t>
      </w:r>
    </w:p>
    <w:p w14:paraId="7B97F016" w14:textId="77777777" w:rsidR="00AE3DC0" w:rsidRPr="00AE3DC0" w:rsidRDefault="00AE3DC0" w:rsidP="00AE3DC0">
      <w:pPr>
        <w:numPr>
          <w:ilvl w:val="0"/>
          <w:numId w:val="15"/>
        </w:numPr>
        <w:spacing w:before="100" w:beforeAutospacing="1" w:after="100" w:afterAutospacing="1" w:line="240" w:lineRule="auto"/>
        <w:rPr>
          <w:color w:val="000000"/>
        </w:rPr>
      </w:pPr>
      <w:r w:rsidRPr="00AE3DC0">
        <w:rPr>
          <w:color w:val="000000"/>
        </w:rPr>
        <w:t>Higher</w:t>
      </w:r>
      <w:r w:rsidRPr="00AE3DC0">
        <w:rPr>
          <w:rStyle w:val="apple-converted-space"/>
          <w:color w:val="000000"/>
        </w:rPr>
        <w:t> </w:t>
      </w:r>
      <m:oMath>
        <m:r>
          <w:rPr>
            <w:rFonts w:ascii="Cambria Math" w:hAnsi="Cambria Math"/>
          </w:rPr>
          <m:t>A</m:t>
        </m:r>
        <m:sSub>
          <m:sSubPr>
            <m:ctrlPr>
              <w:rPr>
                <w:rFonts w:ascii="Cambria Math" w:hAnsi="Cambria Math"/>
              </w:rPr>
            </m:ctrlPr>
          </m:sSubPr>
          <m:e>
            <m:r>
              <w:rPr>
                <w:rFonts w:ascii="Cambria Math" w:hAnsi="Cambria Math"/>
              </w:rPr>
              <m:t>C</m:t>
            </m:r>
          </m:e>
          <m:sub>
            <m:r>
              <w:rPr>
                <w:rFonts w:ascii="Cambria Math" w:hAnsi="Cambria Math"/>
              </w:rPr>
              <m:t>o</m:t>
            </m:r>
          </m:sub>
        </m:sSub>
      </m:oMath>
      <w:r w:rsidRPr="00AE3DC0">
        <w:rPr>
          <w:rStyle w:val="apple-converted-space"/>
          <w:color w:val="000000"/>
        </w:rPr>
        <w:t> </w:t>
      </w:r>
      <w:r w:rsidRPr="00AE3DC0">
        <w:rPr>
          <w:color w:val="000000"/>
        </w:rPr>
        <w:t>reduces vulnerability.</w:t>
      </w:r>
    </w:p>
    <w:p w14:paraId="0EE26E7C" w14:textId="4468FE98" w:rsidR="00AE3DC0" w:rsidRPr="00AE3DC0" w:rsidRDefault="00AE3DC0" w:rsidP="00AE3DC0">
      <w:pPr>
        <w:pStyle w:val="NormalWeb"/>
        <w:rPr>
          <w:rFonts w:asciiTheme="minorHAnsi" w:hAnsiTheme="minorHAnsi"/>
          <w:color w:val="000000"/>
        </w:rPr>
      </w:pPr>
      <w:r w:rsidRPr="00AE3DC0">
        <w:rPr>
          <w:rFonts w:asciiTheme="minorHAnsi" w:hAnsiTheme="minorHAnsi"/>
          <w:color w:val="000000"/>
        </w:rPr>
        <w:t xml:space="preserve">To incorporate observed labor market dynamics, the framework </w:t>
      </w:r>
      <w:r>
        <w:rPr>
          <w:rFonts w:asciiTheme="minorHAnsi" w:hAnsiTheme="minorHAnsi"/>
          <w:color w:val="000000"/>
        </w:rPr>
        <w:t>was</w:t>
      </w:r>
      <w:r w:rsidRPr="00AE3DC0">
        <w:rPr>
          <w:rFonts w:asciiTheme="minorHAnsi" w:hAnsiTheme="minorHAnsi"/>
          <w:color w:val="000000"/>
        </w:rPr>
        <w:t xml:space="preserve"> extended as:</w:t>
      </w:r>
    </w:p>
    <w:p w14:paraId="1FB55381" w14:textId="1B8AA16F" w:rsidR="00AE3DC0" w:rsidRPr="00AE3DC0" w:rsidRDefault="00000000" w:rsidP="00AE3DC0">
      <m:oMathPara>
        <m:oMath>
          <m:sSubSup>
            <m:sSubSupPr>
              <m:ctrlPr>
                <w:rPr>
                  <w:rFonts w:ascii="Cambria Math" w:hAnsi="Cambria Math"/>
                </w:rPr>
              </m:ctrlPr>
            </m:sSubSupPr>
            <m:e>
              <m:r>
                <w:rPr>
                  <w:rFonts w:ascii="Cambria Math" w:hAnsi="Cambria Math"/>
                </w:rPr>
                <m:t>V</m:t>
              </m:r>
            </m:e>
            <m:sub>
              <m:r>
                <w:rPr>
                  <w:rFonts w:ascii="Cambria Math" w:hAnsi="Cambria Math"/>
                </w:rPr>
                <m:t>o</m:t>
              </m:r>
            </m:sub>
            <m:sup>
              <m: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o</m:t>
              </m:r>
            </m:sub>
          </m:sSub>
          <m:r>
            <w:rPr>
              <w:rFonts w:ascii="Cambria Math" w:hAnsi="Cambria Math"/>
            </w:rPr>
            <m:t>⋅(1-A</m:t>
          </m:r>
          <m:sSub>
            <m:sSubPr>
              <m:ctrlPr>
                <w:rPr>
                  <w:rFonts w:ascii="Cambria Math" w:hAnsi="Cambria Math"/>
                </w:rPr>
              </m:ctrlPr>
            </m:sSubPr>
            <m:e>
              <m:r>
                <w:rPr>
                  <w:rFonts w:ascii="Cambria Math" w:hAnsi="Cambria Math"/>
                </w:rPr>
                <m:t>C</m:t>
              </m:r>
            </m:e>
            <m:sub>
              <m:r>
                <w:rPr>
                  <w:rFonts w:ascii="Cambria Math" w:hAnsi="Cambria Math"/>
                </w:rPr>
                <m:t>o</m:t>
              </m:r>
            </m:sub>
          </m:sSub>
          <m:r>
            <w:rPr>
              <w:rFonts w:ascii="Cambria Math" w:hAnsi="Cambria Math"/>
            </w:rPr>
            <m:t>)⋅f(L</m:t>
          </m:r>
          <m:sSub>
            <m:sSubPr>
              <m:ctrlPr>
                <w:rPr>
                  <w:rFonts w:ascii="Cambria Math" w:hAnsi="Cambria Math"/>
                </w:rPr>
              </m:ctrlPr>
            </m:sSubPr>
            <m:e>
              <m:r>
                <w:rPr>
                  <w:rFonts w:ascii="Cambria Math" w:hAnsi="Cambria Math"/>
                </w:rPr>
                <m:t>M</m:t>
              </m:r>
            </m:e>
            <m:sub>
              <m:r>
                <w:rPr>
                  <w:rFonts w:ascii="Cambria Math" w:hAnsi="Cambria Math"/>
                </w:rPr>
                <m:t>o</m:t>
              </m:r>
            </m:sub>
          </m:sSub>
          <m:r>
            <w:rPr>
              <w:rFonts w:ascii="Cambria Math" w:hAnsi="Cambria Math"/>
            </w:rPr>
            <m:t>)</m:t>
          </m:r>
        </m:oMath>
      </m:oMathPara>
    </w:p>
    <w:p w14:paraId="0A514825" w14:textId="77777777" w:rsidR="00AE3DC0" w:rsidRPr="00AE3DC0" w:rsidRDefault="00AE3DC0" w:rsidP="00AE3DC0">
      <w:pPr>
        <w:pStyle w:val="NormalWeb"/>
        <w:rPr>
          <w:rFonts w:asciiTheme="minorHAnsi" w:hAnsiTheme="minorHAnsi"/>
          <w:color w:val="000000"/>
        </w:rPr>
      </w:pPr>
      <w:r w:rsidRPr="00AE3DC0">
        <w:rPr>
          <w:rFonts w:asciiTheme="minorHAnsi" w:hAnsiTheme="minorHAnsi"/>
          <w:color w:val="000000"/>
        </w:rPr>
        <w:t>where</w:t>
      </w:r>
      <w:r w:rsidRPr="00AE3DC0">
        <w:rPr>
          <w:rStyle w:val="apple-converted-space"/>
          <w:rFonts w:asciiTheme="minorHAnsi" w:eastAsiaTheme="majorEastAsia" w:hAnsiTheme="minorHAnsi"/>
          <w:color w:val="000000"/>
        </w:rPr>
        <w:t> </w:t>
      </w:r>
      <m:oMath>
        <m:r>
          <w:rPr>
            <w:rFonts w:ascii="Cambria Math" w:hAnsi="Cambria Math"/>
          </w:rPr>
          <m:t>f(L</m:t>
        </m:r>
        <m:sSub>
          <m:sSubPr>
            <m:ctrlPr>
              <w:rPr>
                <w:rFonts w:ascii="Cambria Math" w:hAnsi="Cambria Math"/>
              </w:rPr>
            </m:ctrlPr>
          </m:sSubPr>
          <m:e>
            <m:r>
              <w:rPr>
                <w:rFonts w:ascii="Cambria Math" w:hAnsi="Cambria Math"/>
              </w:rPr>
              <m:t>M</m:t>
            </m:r>
          </m:e>
          <m:sub>
            <m:r>
              <w:rPr>
                <w:rFonts w:ascii="Cambria Math" w:hAnsi="Cambria Math"/>
              </w:rPr>
              <m:t>o</m:t>
            </m:r>
          </m:sub>
        </m:sSub>
        <m:r>
          <w:rPr>
            <w:rFonts w:ascii="Cambria Math" w:hAnsi="Cambria Math"/>
          </w:rPr>
          <m:t>)</m:t>
        </m:r>
      </m:oMath>
      <w:r w:rsidRPr="00AE3DC0">
        <w:rPr>
          <w:rStyle w:val="apple-converted-space"/>
          <w:rFonts w:asciiTheme="minorHAnsi" w:eastAsiaTheme="majorEastAsia" w:hAnsiTheme="minorHAnsi"/>
          <w:color w:val="000000"/>
        </w:rPr>
        <w:t> </w:t>
      </w:r>
      <w:r w:rsidRPr="00AE3DC0">
        <w:rPr>
          <w:rFonts w:asciiTheme="minorHAnsi" w:hAnsiTheme="minorHAnsi"/>
          <w:color w:val="000000"/>
        </w:rPr>
        <w:t>is a transformation of labor market trends, such as:</w:t>
      </w:r>
    </w:p>
    <w:p w14:paraId="6B496378" w14:textId="0AFBE2CA" w:rsidR="00AE3DC0" w:rsidRPr="00AE3DC0" w:rsidRDefault="00AE3DC0" w:rsidP="00AE3DC0">
      <m:oMathPara>
        <m:oMath>
          <m:r>
            <w:rPr>
              <w:rFonts w:ascii="Cambria Math" w:hAnsi="Cambria Math"/>
            </w:rPr>
            <m:t>f(L</m:t>
          </m:r>
          <m:sSub>
            <m:sSubPr>
              <m:ctrlPr>
                <w:rPr>
                  <w:rFonts w:ascii="Cambria Math" w:hAnsi="Cambria Math"/>
                </w:rPr>
              </m:ctrlPr>
            </m:sSubPr>
            <m:e>
              <m:r>
                <w:rPr>
                  <w:rFonts w:ascii="Cambria Math" w:hAnsi="Cambria Math"/>
                </w:rPr>
                <m:t>M</m:t>
              </m:r>
            </m:e>
            <m:sub>
              <m:r>
                <w:rPr>
                  <w:rFonts w:ascii="Cambria Math" w:hAnsi="Cambria Math"/>
                </w:rPr>
                <m:t>o</m:t>
              </m:r>
            </m:sub>
          </m:sSub>
          <m:r>
            <w:rPr>
              <w:rFonts w:ascii="Cambria Math" w:hAnsi="Cambria Math"/>
            </w:rPr>
            <m:t>)=1-</m:t>
          </m:r>
          <m:r>
            <m:rPr>
              <m:sty m:val="p"/>
            </m:rPr>
            <w:rPr>
              <w:rFonts w:ascii="Cambria Math" w:hAnsi="Cambria Math"/>
            </w:rPr>
            <m:t>Δ</m:t>
          </m:r>
          <m:r>
            <w:rPr>
              <w:rFonts w:ascii="Cambria Math" w:hAnsi="Cambria Math"/>
            </w:rPr>
            <m:t>Employmen</m:t>
          </m:r>
          <m:sSub>
            <m:sSubPr>
              <m:ctrlPr>
                <w:rPr>
                  <w:rFonts w:ascii="Cambria Math" w:hAnsi="Cambria Math"/>
                </w:rPr>
              </m:ctrlPr>
            </m:sSubPr>
            <m:e>
              <m:r>
                <w:rPr>
                  <w:rFonts w:ascii="Cambria Math" w:hAnsi="Cambria Math"/>
                </w:rPr>
                <m:t>t</m:t>
              </m:r>
            </m:e>
            <m:sub>
              <m:r>
                <w:rPr>
                  <w:rFonts w:ascii="Cambria Math" w:hAnsi="Cambria Math"/>
                </w:rPr>
                <m:t>o</m:t>
              </m:r>
            </m:sub>
          </m:sSub>
          <m:r>
            <m:rPr>
              <m:nor/>
            </m:rPr>
            <m:t>or</m:t>
          </m:r>
          <m:r>
            <w:rPr>
              <w:rFonts w:ascii="Cambria Math" w:hAnsi="Cambria Math"/>
            </w:rPr>
            <m:t>1-</m:t>
          </m:r>
          <m:r>
            <m:rPr>
              <m:sty m:val="p"/>
            </m:rPr>
            <w:rPr>
              <w:rFonts w:ascii="Cambria Math" w:hAnsi="Cambria Math"/>
            </w:rPr>
            <m:t>Δ</m:t>
          </m:r>
          <m:r>
            <w:rPr>
              <w:rFonts w:ascii="Cambria Math" w:hAnsi="Cambria Math"/>
            </w:rPr>
            <m:t>Posting</m:t>
          </m:r>
          <m:sSub>
            <m:sSubPr>
              <m:ctrlPr>
                <w:rPr>
                  <w:rFonts w:ascii="Cambria Math" w:hAnsi="Cambria Math"/>
                </w:rPr>
              </m:ctrlPr>
            </m:sSubPr>
            <m:e>
              <m:r>
                <w:rPr>
                  <w:rFonts w:ascii="Cambria Math" w:hAnsi="Cambria Math"/>
                </w:rPr>
                <m:t>s</m:t>
              </m:r>
            </m:e>
            <m:sub>
              <m:r>
                <w:rPr>
                  <w:rFonts w:ascii="Cambria Math" w:hAnsi="Cambria Math"/>
                </w:rPr>
                <m:t>o</m:t>
              </m:r>
            </m:sub>
          </m:sSub>
        </m:oMath>
      </m:oMathPara>
    </w:p>
    <w:p w14:paraId="31852F84" w14:textId="6E1E4D5C" w:rsidR="00AE3DC0" w:rsidRPr="00AE3DC0" w:rsidRDefault="00AE3DC0" w:rsidP="00AE3DC0">
      <w:pPr>
        <w:pStyle w:val="NormalWeb"/>
        <w:rPr>
          <w:rFonts w:asciiTheme="minorHAnsi" w:hAnsiTheme="minorHAnsi"/>
          <w:color w:val="000000"/>
        </w:rPr>
      </w:pPr>
      <w:r w:rsidRPr="00AE3DC0">
        <w:rPr>
          <w:rFonts w:asciiTheme="minorHAnsi" w:hAnsiTheme="minorHAnsi"/>
          <w:color w:val="000000"/>
        </w:rPr>
        <w:t>This allows the model to distinguish between occupations that are highly exposed but currently stable versus those already experiencing declines.</w:t>
      </w:r>
    </w:p>
    <w:p w14:paraId="10484E6D" w14:textId="4D75C88F" w:rsidR="00AE3DC0" w:rsidRDefault="00AE3DC0" w:rsidP="00AE3DC0">
      <w:pPr>
        <w:pStyle w:val="Heading1"/>
      </w:pPr>
      <w:r>
        <w:t>Defining Occupational Transitions</w:t>
      </w:r>
    </w:p>
    <w:p w14:paraId="0EFF8A44" w14:textId="7BB54139" w:rsidR="00AE3DC0" w:rsidRDefault="00AE3DC0" w:rsidP="00AE3DC0">
      <w:pPr>
        <w:pStyle w:val="Heading2"/>
      </w:pPr>
      <w:r>
        <w:t>Identifying Related Occupations</w:t>
      </w:r>
    </w:p>
    <w:p w14:paraId="029D18CB" w14:textId="77777777" w:rsidR="00AE3DC0" w:rsidRDefault="00AE3DC0" w:rsidP="00AE3DC0">
      <w:r>
        <w:t>We use occupational similarity data from O*NET to identify relationships between occupations. Specifically, we rely on O*NET’s “Related Occupations” framework, which links occupations based on:</w:t>
      </w:r>
    </w:p>
    <w:p w14:paraId="5F3CF2D5" w14:textId="77777777" w:rsidR="00AE3DC0" w:rsidRDefault="00AE3DC0" w:rsidP="00AE3DC0">
      <w:pPr>
        <w:pStyle w:val="ListParagraph"/>
        <w:numPr>
          <w:ilvl w:val="0"/>
          <w:numId w:val="4"/>
        </w:numPr>
      </w:pPr>
      <w:r>
        <w:t>Shared skills (e.g., critical thinking, programming)</w:t>
      </w:r>
    </w:p>
    <w:p w14:paraId="716E235C" w14:textId="77777777" w:rsidR="00AE3DC0" w:rsidRDefault="00AE3DC0" w:rsidP="00AE3DC0">
      <w:pPr>
        <w:pStyle w:val="ListParagraph"/>
        <w:numPr>
          <w:ilvl w:val="0"/>
          <w:numId w:val="4"/>
        </w:numPr>
      </w:pPr>
      <w:r>
        <w:t>Common work activities (e.g., data analysis, customer interaction)</w:t>
      </w:r>
    </w:p>
    <w:p w14:paraId="52380333" w14:textId="357555ED" w:rsidR="00AE3DC0" w:rsidRDefault="00AE3DC0" w:rsidP="00AE3DC0">
      <w:pPr>
        <w:pStyle w:val="ListParagraph"/>
        <w:numPr>
          <w:ilvl w:val="0"/>
          <w:numId w:val="4"/>
        </w:numPr>
      </w:pPr>
      <w:r>
        <w:lastRenderedPageBreak/>
        <w:t>Overlapping knowledge domains (e.g., finance, healthcare)</w:t>
      </w:r>
    </w:p>
    <w:p w14:paraId="49DF92F8" w14:textId="77777777" w:rsidR="00AE3DC0" w:rsidRDefault="00AE3DC0" w:rsidP="00AE3DC0">
      <w:r>
        <w:t>These relationships are precomputed by O*NET using a combination of task similarity and expert validation.</w:t>
      </w:r>
    </w:p>
    <w:p w14:paraId="109CABAC" w14:textId="77777777" w:rsidR="00AE3DC0" w:rsidRDefault="00AE3DC0" w:rsidP="00AE3DC0">
      <w:r>
        <w:t>For each high AI-exposure occupation, we extract its set of related occupations and retain those that meet two criteria:</w:t>
      </w:r>
    </w:p>
    <w:p w14:paraId="3F9B0BA2" w14:textId="77777777" w:rsidR="00AE3DC0" w:rsidRDefault="00AE3DC0" w:rsidP="00AE3DC0">
      <w:pPr>
        <w:pStyle w:val="ListParagraph"/>
        <w:numPr>
          <w:ilvl w:val="0"/>
          <w:numId w:val="5"/>
        </w:numPr>
      </w:pPr>
      <w:r>
        <w:t>Lower or moderate AI exposure classification</w:t>
      </w:r>
    </w:p>
    <w:p w14:paraId="0F2C8FF3" w14:textId="4A29C5EE" w:rsidR="00AE3DC0" w:rsidRDefault="00AE3DC0" w:rsidP="00AE3DC0">
      <w:pPr>
        <w:pStyle w:val="ListParagraph"/>
        <w:numPr>
          <w:ilvl w:val="0"/>
          <w:numId w:val="5"/>
        </w:numPr>
      </w:pPr>
      <w:r>
        <w:t>Sufficient similarity score, ensuring transitions are realistic in terms of skill transferability</w:t>
      </w:r>
    </w:p>
    <w:p w14:paraId="3B9B26A2" w14:textId="77777777" w:rsidR="00AE3DC0" w:rsidRDefault="00AE3DC0" w:rsidP="00AE3DC0">
      <w:r>
        <w:t>This filtering produces a set of viable transition occupations grounded in empirical similarity measures.</w:t>
      </w:r>
    </w:p>
    <w:p w14:paraId="4A25E806" w14:textId="3DDB63F3" w:rsidR="00AE3DC0" w:rsidRDefault="00AE3DC0" w:rsidP="00AE3DC0">
      <w:pPr>
        <w:pStyle w:val="Heading2"/>
      </w:pPr>
      <w:r>
        <w:t>AI Exposure Alignment</w:t>
      </w:r>
    </w:p>
    <w:p w14:paraId="711920F4" w14:textId="77777777" w:rsidR="00AE3DC0" w:rsidRDefault="00AE3DC0" w:rsidP="00AE3DC0">
      <w:r>
        <w:t>Each occupation is assigned an AI exposure level based on a composite measure (described in the methodology section). To construct transition pathways:</w:t>
      </w:r>
    </w:p>
    <w:p w14:paraId="3AB06334" w14:textId="77777777" w:rsidR="00AE3DC0" w:rsidRDefault="00AE3DC0" w:rsidP="00AE3DC0">
      <w:pPr>
        <w:pStyle w:val="ListParagraph"/>
        <w:numPr>
          <w:ilvl w:val="0"/>
          <w:numId w:val="6"/>
        </w:numPr>
      </w:pPr>
      <w:r>
        <w:t>High-exposure occupations serve as the starting point</w:t>
      </w:r>
    </w:p>
    <w:p w14:paraId="69933D18" w14:textId="77777777" w:rsidR="00AE3DC0" w:rsidRDefault="00AE3DC0" w:rsidP="00AE3DC0">
      <w:pPr>
        <w:pStyle w:val="ListParagraph"/>
        <w:numPr>
          <w:ilvl w:val="0"/>
          <w:numId w:val="6"/>
        </w:numPr>
      </w:pPr>
      <w:r>
        <w:t>Related occupations with lower exposure levels are identified as target roles</w:t>
      </w:r>
    </w:p>
    <w:p w14:paraId="650A845C" w14:textId="7E7BAC70" w:rsidR="00AE3DC0" w:rsidRDefault="00AE3DC0" w:rsidP="00AE3DC0">
      <w:pPr>
        <w:pStyle w:val="ListParagraph"/>
        <w:numPr>
          <w:ilvl w:val="0"/>
          <w:numId w:val="6"/>
        </w:numPr>
      </w:pPr>
      <w:r>
        <w:t>Occupations with equal or higher exposure are excluded from transition recommendations</w:t>
      </w:r>
    </w:p>
    <w:p w14:paraId="5F84A831" w14:textId="77777777" w:rsidR="00AE3DC0" w:rsidRDefault="00AE3DC0" w:rsidP="00AE3DC0">
      <w:r>
        <w:t>This ensures that suggested pathways consistently move users toward roles that are less exposed to automation or augmentation risks.</w:t>
      </w:r>
    </w:p>
    <w:p w14:paraId="7F3559C8" w14:textId="031188DC" w:rsidR="00AE3DC0" w:rsidRDefault="00AE3DC0" w:rsidP="00AE3DC0">
      <w:pPr>
        <w:pStyle w:val="Heading2"/>
      </w:pPr>
      <w:r>
        <w:t>Ranking Transition Pathways</w:t>
      </w:r>
    </w:p>
    <w:p w14:paraId="3CC242C5" w14:textId="77777777" w:rsidR="00AE3DC0" w:rsidRDefault="00AE3DC0" w:rsidP="00AE3DC0">
      <w:r>
        <w:t>Not all related occupations are equally viable. We rank potential transitions using a combination of:</w:t>
      </w:r>
    </w:p>
    <w:p w14:paraId="41739827" w14:textId="77777777" w:rsidR="00AE3DC0" w:rsidRDefault="00AE3DC0" w:rsidP="00AE3DC0">
      <w:pPr>
        <w:pStyle w:val="ListParagraph"/>
        <w:numPr>
          <w:ilvl w:val="0"/>
          <w:numId w:val="7"/>
        </w:numPr>
      </w:pPr>
      <w:r>
        <w:t>O*NET similarity scores (primary driver)</w:t>
      </w:r>
    </w:p>
    <w:p w14:paraId="753C09B5" w14:textId="77777777" w:rsidR="00AE3DC0" w:rsidRDefault="00AE3DC0" w:rsidP="00AE3DC0">
      <w:pPr>
        <w:pStyle w:val="ListParagraph"/>
        <w:numPr>
          <w:ilvl w:val="0"/>
          <w:numId w:val="7"/>
        </w:numPr>
      </w:pPr>
      <w:r>
        <w:t>Exposure reduction magnitude (difference between source and target exposure)</w:t>
      </w:r>
    </w:p>
    <w:p w14:paraId="5548ACC7" w14:textId="6A08F8C2" w:rsidR="00AE3DC0" w:rsidRDefault="00AE3DC0" w:rsidP="00AE3DC0">
      <w:pPr>
        <w:pStyle w:val="ListParagraph"/>
        <w:numPr>
          <w:ilvl w:val="0"/>
          <w:numId w:val="7"/>
        </w:numPr>
      </w:pPr>
      <w:r>
        <w:t>Optional labor market indicators (e.g., demand, wage levels)</w:t>
      </w:r>
    </w:p>
    <w:p w14:paraId="601930E6" w14:textId="77777777" w:rsidR="00AE3DC0" w:rsidRDefault="00AE3DC0" w:rsidP="00AE3DC0">
      <w:r>
        <w:t>This prioritization ensures that recommended occupations balance feasibility with meaningful risk reduction.</w:t>
      </w:r>
    </w:p>
    <w:p w14:paraId="4175C2E4" w14:textId="4BF227C8" w:rsidR="00AE3DC0" w:rsidRDefault="00AE3DC0" w:rsidP="00AE3DC0">
      <w:pPr>
        <w:pStyle w:val="Heading2"/>
      </w:pPr>
      <w:r>
        <w:t>Linking Education and Training Pathways</w:t>
      </w:r>
    </w:p>
    <w:p w14:paraId="5DC28EC6" w14:textId="77777777" w:rsidR="00AE3DC0" w:rsidRDefault="00AE3DC0" w:rsidP="00AE3DC0">
      <w:r>
        <w:t>To translate occupational transitions into actionable steps, we connect target occupations to education and training programs using standardized classification systems:</w:t>
      </w:r>
    </w:p>
    <w:p w14:paraId="48BC809E" w14:textId="77777777" w:rsidR="00AE3DC0" w:rsidRDefault="00AE3DC0" w:rsidP="00AE3DC0">
      <w:pPr>
        <w:pStyle w:val="ListParagraph"/>
        <w:numPr>
          <w:ilvl w:val="0"/>
          <w:numId w:val="9"/>
        </w:numPr>
      </w:pPr>
      <w:r>
        <w:lastRenderedPageBreak/>
        <w:t>Occupations are mapped to instructional programs using a CIP–SOC crosswalk (Classification of Instructional Programs to Standard Occupational Classification)</w:t>
      </w:r>
    </w:p>
    <w:p w14:paraId="00C62EA2" w14:textId="1E9156D2" w:rsidR="00AE3DC0" w:rsidRDefault="00AE3DC0" w:rsidP="00AE3DC0">
      <w:pPr>
        <w:pStyle w:val="ListParagraph"/>
        <w:numPr>
          <w:ilvl w:val="0"/>
          <w:numId w:val="9"/>
        </w:numPr>
      </w:pPr>
      <w:r>
        <w:t>Training programs are sourced from state and national education datasets (e.g., community colleges, workforce training providers)</w:t>
      </w:r>
    </w:p>
    <w:p w14:paraId="5E2DE86D" w14:textId="77777777" w:rsidR="00AE3DC0" w:rsidRDefault="00AE3DC0" w:rsidP="00AE3DC0">
      <w:r>
        <w:t>For each target occupation, we identify:</w:t>
      </w:r>
    </w:p>
    <w:p w14:paraId="5D1147E2" w14:textId="77777777" w:rsidR="00AE3DC0" w:rsidRDefault="00AE3DC0" w:rsidP="00AE3DC0">
      <w:pPr>
        <w:pStyle w:val="ListParagraph"/>
        <w:numPr>
          <w:ilvl w:val="0"/>
          <w:numId w:val="9"/>
        </w:numPr>
      </w:pPr>
      <w:r>
        <w:t>Relevant degree or certificate programs</w:t>
      </w:r>
    </w:p>
    <w:p w14:paraId="2AF3614A" w14:textId="77777777" w:rsidR="00AE3DC0" w:rsidRDefault="00AE3DC0" w:rsidP="00AE3DC0">
      <w:pPr>
        <w:pStyle w:val="ListParagraph"/>
        <w:numPr>
          <w:ilvl w:val="0"/>
          <w:numId w:val="9"/>
        </w:numPr>
      </w:pPr>
      <w:r>
        <w:t>Training providers aligned with occupational requirements</w:t>
      </w:r>
    </w:p>
    <w:p w14:paraId="4DB8845E" w14:textId="156A52B3" w:rsidR="00AE3DC0" w:rsidRDefault="00AE3DC0" w:rsidP="00AE3DC0">
      <w:pPr>
        <w:pStyle w:val="ListParagraph"/>
        <w:numPr>
          <w:ilvl w:val="0"/>
          <w:numId w:val="9"/>
        </w:numPr>
      </w:pPr>
      <w:r>
        <w:t>Program types (e.g., short-term certificates, apprenticeships, associate degrees)</w:t>
      </w:r>
    </w:p>
    <w:p w14:paraId="099E27D8" w14:textId="0CEBC38B" w:rsidR="00AE3DC0" w:rsidRDefault="00AE3DC0" w:rsidP="00AE3DC0">
      <w:pPr>
        <w:pStyle w:val="Heading2"/>
      </w:pPr>
      <w:r>
        <w:t>Data Integration Pipeline</w:t>
      </w:r>
    </w:p>
    <w:p w14:paraId="136B4CFB" w14:textId="77777777" w:rsidR="00AE3DC0" w:rsidRDefault="00AE3DC0" w:rsidP="00AE3DC0">
      <w:r>
        <w:t>The full pipeline integrates multiple data sources:</w:t>
      </w:r>
    </w:p>
    <w:p w14:paraId="4027E96E" w14:textId="77777777" w:rsidR="00AE3DC0" w:rsidRDefault="00AE3DC0" w:rsidP="00AE3DC0">
      <w:pPr>
        <w:pStyle w:val="ListParagraph"/>
        <w:numPr>
          <w:ilvl w:val="0"/>
          <w:numId w:val="11"/>
        </w:numPr>
      </w:pPr>
      <w:r>
        <w:t>Occupation-level AI exposure scores</w:t>
      </w:r>
    </w:p>
    <w:p w14:paraId="624F62DB" w14:textId="77777777" w:rsidR="00AE3DC0" w:rsidRDefault="00AE3DC0" w:rsidP="00AE3DC0">
      <w:pPr>
        <w:pStyle w:val="ListParagraph"/>
        <w:numPr>
          <w:ilvl w:val="0"/>
          <w:numId w:val="11"/>
        </w:numPr>
      </w:pPr>
      <w:r>
        <w:t>O*NET related occupation mappings</w:t>
      </w:r>
    </w:p>
    <w:p w14:paraId="5A19F33D" w14:textId="77777777" w:rsidR="00AE3DC0" w:rsidRDefault="00AE3DC0" w:rsidP="00AE3DC0">
      <w:pPr>
        <w:pStyle w:val="ListParagraph"/>
        <w:numPr>
          <w:ilvl w:val="0"/>
          <w:numId w:val="11"/>
        </w:numPr>
      </w:pPr>
      <w:r>
        <w:t>CIP–SOC crosswalks</w:t>
      </w:r>
    </w:p>
    <w:p w14:paraId="721A773B" w14:textId="0C60012E" w:rsidR="00AE3DC0" w:rsidRDefault="00AE3DC0" w:rsidP="00AE3DC0">
      <w:pPr>
        <w:pStyle w:val="ListParagraph"/>
        <w:numPr>
          <w:ilvl w:val="0"/>
          <w:numId w:val="11"/>
        </w:numPr>
      </w:pPr>
      <w:r>
        <w:t>Training provider and program data</w:t>
      </w:r>
    </w:p>
    <w:p w14:paraId="0F42A973" w14:textId="30954779" w:rsidR="00AE3DC0" w:rsidRPr="00AE3DC0" w:rsidRDefault="00AE3DC0" w:rsidP="00AE3DC0">
      <w:r>
        <w:t>These datasets are merged at the occupation level, allowing the system to generate transition pathways and associated training opportunities.</w:t>
      </w:r>
    </w:p>
    <w:sectPr w:rsidR="00AE3DC0" w:rsidRPr="00AE3D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ptos Narrow">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C6A7D"/>
    <w:multiLevelType w:val="hybridMultilevel"/>
    <w:tmpl w:val="0A7EF8FC"/>
    <w:lvl w:ilvl="0" w:tplc="E01C1E90">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615D2B"/>
    <w:multiLevelType w:val="hybridMultilevel"/>
    <w:tmpl w:val="7716FD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4B0673"/>
    <w:multiLevelType w:val="hybridMultilevel"/>
    <w:tmpl w:val="04DE12CA"/>
    <w:lvl w:ilvl="0" w:tplc="E01C1E90">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1E3208"/>
    <w:multiLevelType w:val="hybridMultilevel"/>
    <w:tmpl w:val="5546E4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135972"/>
    <w:multiLevelType w:val="hybridMultilevel"/>
    <w:tmpl w:val="8F4E0C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AF81D03"/>
    <w:multiLevelType w:val="hybridMultilevel"/>
    <w:tmpl w:val="7EA857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2940264"/>
    <w:multiLevelType w:val="multilevel"/>
    <w:tmpl w:val="C8E20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0D6888"/>
    <w:multiLevelType w:val="hybridMultilevel"/>
    <w:tmpl w:val="AD0E70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9BA5D2A"/>
    <w:multiLevelType w:val="multilevel"/>
    <w:tmpl w:val="B1467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09005AA"/>
    <w:multiLevelType w:val="multilevel"/>
    <w:tmpl w:val="F072C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AC5E56"/>
    <w:multiLevelType w:val="multilevel"/>
    <w:tmpl w:val="890E5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B03AEE"/>
    <w:multiLevelType w:val="multilevel"/>
    <w:tmpl w:val="E54A0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660957"/>
    <w:multiLevelType w:val="hybridMultilevel"/>
    <w:tmpl w:val="0F00F4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A5C366E"/>
    <w:multiLevelType w:val="hybridMultilevel"/>
    <w:tmpl w:val="98D48B24"/>
    <w:lvl w:ilvl="0" w:tplc="4934E50C">
      <w:start w:val="5"/>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AEE38C2"/>
    <w:multiLevelType w:val="hybridMultilevel"/>
    <w:tmpl w:val="C80050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D9436CC"/>
    <w:multiLevelType w:val="hybridMultilevel"/>
    <w:tmpl w:val="BCA45D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83753125">
    <w:abstractNumId w:val="13"/>
  </w:num>
  <w:num w:numId="2" w16cid:durableId="213584389">
    <w:abstractNumId w:val="12"/>
  </w:num>
  <w:num w:numId="3" w16cid:durableId="1593706627">
    <w:abstractNumId w:val="1"/>
  </w:num>
  <w:num w:numId="4" w16cid:durableId="1472988549">
    <w:abstractNumId w:val="14"/>
  </w:num>
  <w:num w:numId="5" w16cid:durableId="156000884">
    <w:abstractNumId w:val="4"/>
  </w:num>
  <w:num w:numId="6" w16cid:durableId="1013798">
    <w:abstractNumId w:val="3"/>
  </w:num>
  <w:num w:numId="7" w16cid:durableId="1085490019">
    <w:abstractNumId w:val="15"/>
  </w:num>
  <w:num w:numId="8" w16cid:durableId="1595479330">
    <w:abstractNumId w:val="2"/>
  </w:num>
  <w:num w:numId="9" w16cid:durableId="382827558">
    <w:abstractNumId w:val="0"/>
  </w:num>
  <w:num w:numId="10" w16cid:durableId="787315114">
    <w:abstractNumId w:val="5"/>
  </w:num>
  <w:num w:numId="11" w16cid:durableId="132647614">
    <w:abstractNumId w:val="7"/>
  </w:num>
  <w:num w:numId="12" w16cid:durableId="1894543042">
    <w:abstractNumId w:val="9"/>
  </w:num>
  <w:num w:numId="13" w16cid:durableId="672998223">
    <w:abstractNumId w:val="8"/>
  </w:num>
  <w:num w:numId="14" w16cid:durableId="1271208543">
    <w:abstractNumId w:val="11"/>
  </w:num>
  <w:num w:numId="15" w16cid:durableId="221335988">
    <w:abstractNumId w:val="6"/>
  </w:num>
  <w:num w:numId="16" w16cid:durableId="11753370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DC0"/>
    <w:rsid w:val="00035BE7"/>
    <w:rsid w:val="00080295"/>
    <w:rsid w:val="003A4271"/>
    <w:rsid w:val="0094306F"/>
    <w:rsid w:val="00AE3DC0"/>
    <w:rsid w:val="00AF7F40"/>
    <w:rsid w:val="00FE5B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912D0"/>
  <w15:chartTrackingRefBased/>
  <w15:docId w15:val="{D933DCF8-71E0-2449-B300-6D89F8E94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3D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E3D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E3D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3D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3D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3D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3D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3D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3D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3D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E3D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E3D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3D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3D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3D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3D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3D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3DC0"/>
    <w:rPr>
      <w:rFonts w:eastAsiaTheme="majorEastAsia" w:cstheme="majorBidi"/>
      <w:color w:val="272727" w:themeColor="text1" w:themeTint="D8"/>
    </w:rPr>
  </w:style>
  <w:style w:type="paragraph" w:styleId="Title">
    <w:name w:val="Title"/>
    <w:basedOn w:val="Normal"/>
    <w:next w:val="Normal"/>
    <w:link w:val="TitleChar"/>
    <w:uiPriority w:val="10"/>
    <w:qFormat/>
    <w:rsid w:val="00AE3D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3D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3D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3D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3DC0"/>
    <w:pPr>
      <w:spacing w:before="160"/>
      <w:jc w:val="center"/>
    </w:pPr>
    <w:rPr>
      <w:i/>
      <w:iCs/>
      <w:color w:val="404040" w:themeColor="text1" w:themeTint="BF"/>
    </w:rPr>
  </w:style>
  <w:style w:type="character" w:customStyle="1" w:styleId="QuoteChar">
    <w:name w:val="Quote Char"/>
    <w:basedOn w:val="DefaultParagraphFont"/>
    <w:link w:val="Quote"/>
    <w:uiPriority w:val="29"/>
    <w:rsid w:val="00AE3DC0"/>
    <w:rPr>
      <w:i/>
      <w:iCs/>
      <w:color w:val="404040" w:themeColor="text1" w:themeTint="BF"/>
    </w:rPr>
  </w:style>
  <w:style w:type="paragraph" w:styleId="ListParagraph">
    <w:name w:val="List Paragraph"/>
    <w:basedOn w:val="Normal"/>
    <w:uiPriority w:val="34"/>
    <w:qFormat/>
    <w:rsid w:val="00AE3DC0"/>
    <w:pPr>
      <w:ind w:left="720"/>
      <w:contextualSpacing/>
    </w:pPr>
  </w:style>
  <w:style w:type="character" w:styleId="IntenseEmphasis">
    <w:name w:val="Intense Emphasis"/>
    <w:basedOn w:val="DefaultParagraphFont"/>
    <w:uiPriority w:val="21"/>
    <w:qFormat/>
    <w:rsid w:val="00AE3DC0"/>
    <w:rPr>
      <w:i/>
      <w:iCs/>
      <w:color w:val="0F4761" w:themeColor="accent1" w:themeShade="BF"/>
    </w:rPr>
  </w:style>
  <w:style w:type="paragraph" w:styleId="IntenseQuote">
    <w:name w:val="Intense Quote"/>
    <w:basedOn w:val="Normal"/>
    <w:next w:val="Normal"/>
    <w:link w:val="IntenseQuoteChar"/>
    <w:uiPriority w:val="30"/>
    <w:qFormat/>
    <w:rsid w:val="00AE3D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3DC0"/>
    <w:rPr>
      <w:i/>
      <w:iCs/>
      <w:color w:val="0F4761" w:themeColor="accent1" w:themeShade="BF"/>
    </w:rPr>
  </w:style>
  <w:style w:type="character" w:styleId="IntenseReference">
    <w:name w:val="Intense Reference"/>
    <w:basedOn w:val="DefaultParagraphFont"/>
    <w:uiPriority w:val="32"/>
    <w:qFormat/>
    <w:rsid w:val="00AE3DC0"/>
    <w:rPr>
      <w:b/>
      <w:bCs/>
      <w:smallCaps/>
      <w:color w:val="0F4761" w:themeColor="accent1" w:themeShade="BF"/>
      <w:spacing w:val="5"/>
    </w:rPr>
  </w:style>
  <w:style w:type="character" w:styleId="Hyperlink">
    <w:name w:val="Hyperlink"/>
    <w:basedOn w:val="DefaultParagraphFont"/>
    <w:uiPriority w:val="99"/>
    <w:semiHidden/>
    <w:unhideWhenUsed/>
    <w:rsid w:val="00AE3DC0"/>
    <w:rPr>
      <w:color w:val="467886"/>
      <w:u w:val="single"/>
    </w:rPr>
  </w:style>
  <w:style w:type="character" w:styleId="Strong">
    <w:name w:val="Strong"/>
    <w:basedOn w:val="DefaultParagraphFont"/>
    <w:uiPriority w:val="22"/>
    <w:qFormat/>
    <w:rsid w:val="00AE3DC0"/>
    <w:rPr>
      <w:b/>
      <w:bCs/>
    </w:rPr>
  </w:style>
  <w:style w:type="paragraph" w:styleId="NormalWeb">
    <w:name w:val="Normal (Web)"/>
    <w:basedOn w:val="Normal"/>
    <w:uiPriority w:val="99"/>
    <w:unhideWhenUsed/>
    <w:rsid w:val="00AE3DC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AE3DC0"/>
  </w:style>
  <w:style w:type="character" w:customStyle="1" w:styleId="whitespace-normal">
    <w:name w:val="whitespace-normal"/>
    <w:basedOn w:val="DefaultParagraphFont"/>
    <w:rsid w:val="00AE3D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ber.org/system/files/working_papers/w31222/w31222.pdf"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arxiv.org/pdf/2303.10130"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rxiv.org/pdf/2303.10130" TargetMode="External"/><Relationship Id="rId11" Type="http://schemas.openxmlformats.org/officeDocument/2006/relationships/hyperlink" Target="https://arxiv.org/pdf/2507.07935" TargetMode="External"/><Relationship Id="rId5" Type="http://schemas.openxmlformats.org/officeDocument/2006/relationships/image" Target="media/image1.png"/><Relationship Id="rId10" Type="http://schemas.openxmlformats.org/officeDocument/2006/relationships/hyperlink" Target="https://sms.onlinelibrary.wiley.com/doi/full/10.1002/smj.3286" TargetMode="External"/><Relationship Id="rId4" Type="http://schemas.openxmlformats.org/officeDocument/2006/relationships/webSettings" Target="webSettings.xml"/><Relationship Id="rId9" Type="http://schemas.openxmlformats.org/officeDocument/2006/relationships/hyperlink" Target="https://www.nber.org/system/files/working_papers/w31222/w31222.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8</Pages>
  <Words>2062</Words>
  <Characters>11759</Characters>
  <Application>Microsoft Office Word</Application>
  <DocSecurity>0</DocSecurity>
  <Lines>97</Lines>
  <Paragraphs>27</Paragraphs>
  <ScaleCrop>false</ScaleCrop>
  <Company/>
  <LinksUpToDate>false</LinksUpToDate>
  <CharactersWithSpaces>13794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Ferris A Ramadan</dc:creator>
  <cp:keywords/>
  <dc:description/>
  <cp:lastModifiedBy>Ferris A Ramadan</cp:lastModifiedBy>
  <cp:revision>3</cp:revision>
  <dcterms:created xsi:type="dcterms:W3CDTF">2026-03-31T22:48:00Z</dcterms:created>
  <dcterms:modified xsi:type="dcterms:W3CDTF">2026-04-01T07:35:00Z</dcterms:modified>
</cp:coreProperties>
</file>