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4E" w:rsidRDefault="008D3F4E">
      <w:pPr>
        <w:rPr>
          <w:b/>
          <w:lang w:val="en-US"/>
        </w:rPr>
      </w:pPr>
      <w:r w:rsidRPr="00CC564A">
        <w:rPr>
          <w:b/>
          <w:lang w:val="en-US"/>
        </w:rPr>
        <w:t>Balancing Governance Efficiency and Information Privacy</w:t>
      </w:r>
      <w:r w:rsidR="00910682">
        <w:rPr>
          <w:b/>
          <w:lang w:val="en-US"/>
        </w:rPr>
        <w:t xml:space="preserve"> </w:t>
      </w:r>
      <w:proofErr w:type="gramStart"/>
      <w:r w:rsidR="00910682">
        <w:rPr>
          <w:b/>
          <w:lang w:val="en-US"/>
        </w:rPr>
        <w:t>In</w:t>
      </w:r>
      <w:proofErr w:type="gramEnd"/>
      <w:r w:rsidR="00910682">
        <w:rPr>
          <w:b/>
          <w:lang w:val="en-US"/>
        </w:rPr>
        <w:t xml:space="preserve"> Urban Governance</w:t>
      </w:r>
      <w:r w:rsidRPr="00CC564A">
        <w:rPr>
          <w:b/>
          <w:lang w:val="en-US"/>
        </w:rPr>
        <w:t xml:space="preserve"> </w:t>
      </w:r>
    </w:p>
    <w:p w:rsidR="00E97B2C" w:rsidRPr="00E97B2C" w:rsidRDefault="00E97B2C" w:rsidP="00E97B2C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Gautham Ravichander and Chintan Vaishnav</w:t>
      </w:r>
    </w:p>
    <w:p w:rsidR="001D313C" w:rsidRDefault="000A684D">
      <w:pPr>
        <w:rPr>
          <w:lang w:val="en-US"/>
        </w:rPr>
      </w:pPr>
      <w:r>
        <w:rPr>
          <w:lang w:val="en-US"/>
        </w:rPr>
        <w:t>Indian cities have started to embrace technology at an unprecedented pace and ar</w:t>
      </w:r>
      <w:bookmarkStart w:id="0" w:name="_GoBack"/>
      <w:bookmarkEnd w:id="0"/>
      <w:r>
        <w:rPr>
          <w:lang w:val="en-US"/>
        </w:rPr>
        <w:t>e establishing digital governance systems and deploying smart technologies to improve the quality of urban governance and service delivery.</w:t>
      </w:r>
      <w:r w:rsidR="00B71EC1">
        <w:rPr>
          <w:lang w:val="en-US"/>
        </w:rPr>
        <w:t xml:space="preserve"> </w:t>
      </w:r>
      <w:r w:rsidR="001D313C">
        <w:rPr>
          <w:lang w:val="en-US"/>
        </w:rPr>
        <w:t xml:space="preserve">These systems are generating data ranging from transactional data, operational data and sensor data, resulting in cities becoming data rich rapidly. </w:t>
      </w:r>
      <w:r w:rsidR="00B71EC1">
        <w:rPr>
          <w:lang w:val="en-US"/>
        </w:rPr>
        <w:t>With this growth in the availability of digital data</w:t>
      </w:r>
      <w:r w:rsidR="00B370A5">
        <w:rPr>
          <w:lang w:val="en-US"/>
        </w:rPr>
        <w:t xml:space="preserve">, city managers are starting to explore the use of this data for improving decision making, informing governance reforms and catalyzing innovation. </w:t>
      </w:r>
      <w:r w:rsidR="002D383F">
        <w:rPr>
          <w:lang w:val="en-US"/>
        </w:rPr>
        <w:t>A key example of this is India’ draft strategy for the use of AI produced by the NITI Aayog</w:t>
      </w:r>
      <w:r w:rsidR="00FF22F0">
        <w:rPr>
          <w:lang w:val="en-US"/>
        </w:rPr>
        <w:t>.</w:t>
      </w:r>
    </w:p>
    <w:p w:rsidR="00B71EC1" w:rsidRDefault="00927A44">
      <w:pPr>
        <w:rPr>
          <w:iCs/>
        </w:rPr>
      </w:pPr>
      <w:r>
        <w:rPr>
          <w:lang w:val="en-US"/>
        </w:rPr>
        <w:t xml:space="preserve">At the same time there is a growing legal recognition of the right to privacy and the need to protect citizen privacy and data internationally. </w:t>
      </w:r>
      <w:r w:rsidR="006C34C1">
        <w:t xml:space="preserve">Data Protection has been a sensitive topic in India ever since </w:t>
      </w:r>
      <w:r w:rsidR="006C34C1" w:rsidRPr="00677C71">
        <w:rPr>
          <w:iCs/>
        </w:rPr>
        <w:t xml:space="preserve">the Supreme Court </w:t>
      </w:r>
      <w:r w:rsidR="001D313C">
        <w:rPr>
          <w:iCs/>
        </w:rPr>
        <w:t>judgment</w:t>
      </w:r>
      <w:r w:rsidR="006C34C1" w:rsidRPr="00677C71">
        <w:rPr>
          <w:iCs/>
        </w:rPr>
        <w:t xml:space="preserve"> in August, 2017</w:t>
      </w:r>
      <w:r w:rsidR="006C34C1">
        <w:rPr>
          <w:iCs/>
        </w:rPr>
        <w:t xml:space="preserve"> </w:t>
      </w:r>
      <w:r w:rsidR="001D313C">
        <w:rPr>
          <w:iCs/>
        </w:rPr>
        <w:t>holding</w:t>
      </w:r>
      <w:r w:rsidR="006C34C1">
        <w:rPr>
          <w:iCs/>
        </w:rPr>
        <w:t xml:space="preserve"> privacy </w:t>
      </w:r>
      <w:r w:rsidR="001D313C">
        <w:rPr>
          <w:iCs/>
        </w:rPr>
        <w:t xml:space="preserve">to be </w:t>
      </w:r>
      <w:r w:rsidR="006C34C1">
        <w:rPr>
          <w:iCs/>
        </w:rPr>
        <w:t xml:space="preserve">a fundamental constitutional right of every Indian, and the subsequent </w:t>
      </w:r>
      <w:r w:rsidR="001D6EC6">
        <w:rPr>
          <w:iCs/>
        </w:rPr>
        <w:t>work by the Srikrishna committee in producing the</w:t>
      </w:r>
      <w:r w:rsidR="006C34C1">
        <w:rPr>
          <w:iCs/>
        </w:rPr>
        <w:t xml:space="preserve"> Personal Data Protection Bill in August, 2018.</w:t>
      </w:r>
    </w:p>
    <w:p w:rsidR="00F126AD" w:rsidRDefault="002D383F">
      <w:pPr>
        <w:rPr>
          <w:noProof/>
          <w:lang w:val="en-US"/>
        </w:rPr>
      </w:pPr>
      <w:r>
        <w:rPr>
          <w:lang w:val="en-US"/>
        </w:rPr>
        <w:t xml:space="preserve">In this environment it is hard for </w:t>
      </w:r>
      <w:r w:rsidR="000E65A7">
        <w:rPr>
          <w:lang w:val="en-US"/>
        </w:rPr>
        <w:t xml:space="preserve">busy </w:t>
      </w:r>
      <w:r>
        <w:rPr>
          <w:lang w:val="en-US"/>
        </w:rPr>
        <w:t>city managers</w:t>
      </w:r>
      <w:r w:rsidR="000E65A7">
        <w:rPr>
          <w:lang w:val="en-US"/>
        </w:rPr>
        <w:t xml:space="preserve"> and policy makers </w:t>
      </w:r>
      <w:r>
        <w:rPr>
          <w:lang w:val="en-US"/>
        </w:rPr>
        <w:t>to spend time on the deep thought and analysis needed to strike a balance between using data for driving greater efficiencies in governance and the need to maintain citizen privacy. The first is an imperative for a state machinery that collectively serves 1.2 billion citizen</w:t>
      </w:r>
      <w:r w:rsidR="000E65A7">
        <w:rPr>
          <w:lang w:val="en-US"/>
        </w:rPr>
        <w:t>s</w:t>
      </w:r>
      <w:r>
        <w:rPr>
          <w:lang w:val="en-US"/>
        </w:rPr>
        <w:t xml:space="preserve"> while the second is a bedrock on which trust between citizens and governments will be built and maintained in the 21</w:t>
      </w:r>
      <w:r w:rsidRPr="002D383F">
        <w:rPr>
          <w:vertAlign w:val="superscript"/>
          <w:lang w:val="en-US"/>
        </w:rPr>
        <w:t>st</w:t>
      </w:r>
      <w:r>
        <w:rPr>
          <w:lang w:val="en-US"/>
        </w:rPr>
        <w:t xml:space="preserve"> century. Current mainstream discourses treat these two </w:t>
      </w:r>
      <w:r w:rsidR="000E65A7">
        <w:rPr>
          <w:lang w:val="en-US"/>
        </w:rPr>
        <w:t>needs</w:t>
      </w:r>
      <w:r>
        <w:rPr>
          <w:lang w:val="en-US"/>
        </w:rPr>
        <w:t xml:space="preserve"> as being fundamentally opposed, thus resulting in a stalemate</w:t>
      </w:r>
      <w:r w:rsidR="000E65A7">
        <w:rPr>
          <w:lang w:val="en-US"/>
        </w:rPr>
        <w:t xml:space="preserve"> that frustrates progress.</w:t>
      </w:r>
      <w:r w:rsidR="00F126AD">
        <w:rPr>
          <w:noProof/>
          <w:lang w:val="en-US"/>
        </w:rPr>
        <w:t xml:space="preserve"> These discussions cast the tradeoffs and equilibria between governance efficiencies and information privacy as resulting in a zero sum game as shown below</w:t>
      </w:r>
      <w:r w:rsidR="003C4E81">
        <w:rPr>
          <w:noProof/>
          <w:lang w:val="en-US"/>
        </w:rPr>
        <w:t xml:space="preserve">. However </w:t>
      </w:r>
      <w:r w:rsidR="00AF626A">
        <w:rPr>
          <w:noProof/>
          <w:lang w:val="en-US"/>
        </w:rPr>
        <w:t>must</w:t>
      </w:r>
      <w:r w:rsidR="003C4E81">
        <w:rPr>
          <w:noProof/>
          <w:lang w:val="en-US"/>
        </w:rPr>
        <w:t xml:space="preserve"> this balance between the two </w:t>
      </w:r>
      <w:r w:rsidR="00E97B2C">
        <w:rPr>
          <w:noProof/>
          <w:lang w:val="en-US"/>
        </w:rPr>
        <w:t>neccessarily</w:t>
      </w:r>
      <w:r w:rsidR="003C4E81">
        <w:rPr>
          <w:noProof/>
          <w:lang w:val="en-US"/>
        </w:rPr>
        <w:t xml:space="preserve"> be a zero sum game</w:t>
      </w:r>
      <w:r w:rsidR="00AF626A">
        <w:rPr>
          <w:noProof/>
          <w:lang w:val="en-US"/>
        </w:rPr>
        <w:t>?</w:t>
      </w:r>
    </w:p>
    <w:p w:rsidR="00F126AD" w:rsidRDefault="00F126AD">
      <w:pPr>
        <w:rPr>
          <w:noProof/>
          <w:lang w:val="en-US"/>
        </w:rPr>
      </w:pPr>
    </w:p>
    <w:p w:rsidR="002D383F" w:rsidRDefault="00F126AD">
      <w:pPr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11F32D40" wp14:editId="391BB961">
            <wp:extent cx="5501030" cy="1358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329" cy="1364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26AD" w:rsidRDefault="00F126AD">
      <w:pPr>
        <w:rPr>
          <w:lang w:val="en-US"/>
        </w:rPr>
      </w:pPr>
    </w:p>
    <w:p w:rsidR="00C86A4E" w:rsidRDefault="000E65A7" w:rsidP="00AF626A">
      <w:pPr>
        <w:pStyle w:val="CommentText"/>
        <w:rPr>
          <w:lang w:val="en-US"/>
        </w:rPr>
      </w:pPr>
      <w:r>
        <w:rPr>
          <w:lang w:val="en-US"/>
        </w:rPr>
        <w:t>Over the past eighteen months we hav</w:t>
      </w:r>
      <w:r>
        <w:rPr>
          <w:lang w:val="en-US"/>
        </w:rPr>
        <w:t>e been exploring this tension between governance and privacy using a combination of metadata analysis from digital governance systems, field surveys and interviews with government officers.</w:t>
      </w:r>
      <w:r w:rsidR="00DC7083">
        <w:rPr>
          <w:lang w:val="en-US"/>
        </w:rPr>
        <w:t xml:space="preserve"> </w:t>
      </w:r>
      <w:r w:rsidR="00C86A4E">
        <w:rPr>
          <w:lang w:val="en-US"/>
        </w:rPr>
        <w:t xml:space="preserve">Based on our research we are proposing </w:t>
      </w:r>
      <w:r w:rsidR="003C4E81">
        <w:t>two numerical indices that not only measure governance efficiency and information privacy, but also offer a way to maximize each</w:t>
      </w:r>
      <w:r w:rsidR="00C86A4E">
        <w:rPr>
          <w:lang w:val="en-US"/>
        </w:rPr>
        <w:t>:</w:t>
      </w:r>
    </w:p>
    <w:p w:rsidR="000E65A7" w:rsidRDefault="00C86A4E" w:rsidP="00C86A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Pr="00C86A4E">
        <w:rPr>
          <w:lang w:val="en-US"/>
        </w:rPr>
        <w:t xml:space="preserve"> </w:t>
      </w:r>
      <w:r w:rsidRPr="00C86A4E">
        <w:rPr>
          <w:i/>
          <w:lang w:val="en-US"/>
        </w:rPr>
        <w:t>Governance Efficiency Index (GEI)</w:t>
      </w:r>
      <w:r w:rsidRPr="00C86A4E">
        <w:rPr>
          <w:lang w:val="en-US"/>
        </w:rPr>
        <w:t xml:space="preserve"> </w:t>
      </w:r>
      <w:r w:rsidR="009A3DC0">
        <w:rPr>
          <w:lang w:val="en-US"/>
        </w:rPr>
        <w:t>– This index measures the delivery of the service within a prescribed timeline (often set forth by a citizen charter) and the accuracy of service delivery (delivering the right service to the ri</w:t>
      </w:r>
      <w:r w:rsidR="009A3DC0">
        <w:rPr>
          <w:lang w:val="en-US"/>
        </w:rPr>
        <w:t xml:space="preserve">ght citizen without any rework). In our initial analysis we have not included </w:t>
      </w:r>
      <w:r w:rsidR="00AF626A">
        <w:rPr>
          <w:lang w:val="en-US"/>
        </w:rPr>
        <w:t xml:space="preserve">in this index the </w:t>
      </w:r>
      <w:r w:rsidR="009A3DC0">
        <w:rPr>
          <w:lang w:val="en-US"/>
        </w:rPr>
        <w:t xml:space="preserve">cost of service as this information was not available for the </w:t>
      </w:r>
      <w:r w:rsidR="009A3DC0">
        <w:rPr>
          <w:lang w:val="en-US"/>
        </w:rPr>
        <w:lastRenderedPageBreak/>
        <w:t>initial analysis, however we are confident that in future iterations of the index</w:t>
      </w:r>
      <w:r w:rsidR="008D2556">
        <w:rPr>
          <w:lang w:val="en-US"/>
        </w:rPr>
        <w:t xml:space="preserve"> we will be able to do so, thus providing a more holistic</w:t>
      </w:r>
      <w:r w:rsidR="008D2556">
        <w:rPr>
          <w:lang w:val="en-US"/>
        </w:rPr>
        <w:t xml:space="preserve"> view on governance efficiency.</w:t>
      </w:r>
    </w:p>
    <w:p w:rsidR="008D2556" w:rsidRDefault="008D2556" w:rsidP="008D2556">
      <w:pPr>
        <w:pStyle w:val="ListParagraph"/>
        <w:ind w:left="405"/>
        <w:rPr>
          <w:lang w:val="en-US"/>
        </w:rPr>
      </w:pPr>
    </w:p>
    <w:p w:rsidR="00C86A4E" w:rsidRDefault="00C86A4E" w:rsidP="00C86A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</w:t>
      </w:r>
      <w:r>
        <w:rPr>
          <w:i/>
          <w:lang w:val="en-US"/>
        </w:rPr>
        <w:t>Information Privacy Index (IPI)</w:t>
      </w:r>
      <w:r>
        <w:rPr>
          <w:lang w:val="en-US"/>
        </w:rPr>
        <w:t xml:space="preserve"> that measures the responsible collecti</w:t>
      </w:r>
      <w:r>
        <w:rPr>
          <w:lang w:val="en-US"/>
        </w:rPr>
        <w:t>on, use and disclosure of citizen data by government agencies</w:t>
      </w:r>
      <w:r w:rsidR="002E49E6">
        <w:rPr>
          <w:lang w:val="en-US"/>
        </w:rPr>
        <w:t xml:space="preserve">. Responsible collection refers to </w:t>
      </w:r>
      <w:r w:rsidR="00237ADD">
        <w:rPr>
          <w:lang w:val="en-US"/>
        </w:rPr>
        <w:t xml:space="preserve">limiting </w:t>
      </w:r>
      <w:r w:rsidR="002E49E6">
        <w:rPr>
          <w:lang w:val="en-US"/>
        </w:rPr>
        <w:t xml:space="preserve">the collection of data </w:t>
      </w:r>
      <w:r w:rsidR="00237ADD">
        <w:rPr>
          <w:lang w:val="en-US"/>
        </w:rPr>
        <w:t xml:space="preserve">to </w:t>
      </w:r>
      <w:r w:rsidR="002E49E6">
        <w:rPr>
          <w:lang w:val="en-US"/>
        </w:rPr>
        <w:t>that</w:t>
      </w:r>
      <w:r w:rsidR="00237ADD">
        <w:rPr>
          <w:lang w:val="en-US"/>
        </w:rPr>
        <w:t xml:space="preserve"> which</w:t>
      </w:r>
      <w:r w:rsidR="002E49E6">
        <w:rPr>
          <w:lang w:val="en-US"/>
        </w:rPr>
        <w:t xml:space="preserve"> enables the government to </w:t>
      </w:r>
      <w:r w:rsidR="00237ADD">
        <w:rPr>
          <w:lang w:val="en-US"/>
        </w:rPr>
        <w:t xml:space="preserve">deliver the service in the first place or to </w:t>
      </w:r>
      <w:r w:rsidR="002E49E6">
        <w:rPr>
          <w:lang w:val="en-US"/>
        </w:rPr>
        <w:t>improve the accuracy and efficiency of service delivery (</w:t>
      </w:r>
      <w:proofErr w:type="spellStart"/>
      <w:r w:rsidR="002E49E6">
        <w:rPr>
          <w:lang w:val="en-US"/>
        </w:rPr>
        <w:t>eg</w:t>
      </w:r>
      <w:proofErr w:type="spellEnd"/>
      <w:r w:rsidR="002E49E6">
        <w:rPr>
          <w:lang w:val="en-US"/>
        </w:rPr>
        <w:t>: name and address of a person who has applied for a water connection, along with type of connection requested).</w:t>
      </w:r>
      <w:r w:rsidR="00EB2306">
        <w:rPr>
          <w:lang w:val="en-US"/>
        </w:rPr>
        <w:t xml:space="preserve"> Responsible use similarly denotes the appropriate application of this data for service delivery in a manner that improves governance efficiency without compromising citizen privacy. </w:t>
      </w:r>
      <w:r w:rsidR="00C12FAB">
        <w:rPr>
          <w:lang w:val="en-US"/>
        </w:rPr>
        <w:t>T</w:t>
      </w:r>
      <w:r w:rsidR="00EB2306">
        <w:rPr>
          <w:lang w:val="en-US"/>
        </w:rPr>
        <w:t>his could mean limiting the information shared with employees to only those fields or elements needed to complete the service delivery (</w:t>
      </w:r>
      <w:proofErr w:type="spellStart"/>
      <w:r w:rsidR="00EB2306">
        <w:rPr>
          <w:lang w:val="en-US"/>
        </w:rPr>
        <w:t>eg</w:t>
      </w:r>
      <w:proofErr w:type="spellEnd"/>
      <w:r w:rsidR="00EB2306">
        <w:rPr>
          <w:lang w:val="en-US"/>
        </w:rPr>
        <w:t xml:space="preserve">: </w:t>
      </w:r>
      <w:r w:rsidR="00C12FAB">
        <w:rPr>
          <w:lang w:val="en-US"/>
        </w:rPr>
        <w:t>a water engineer will not need access to property tax records for the purpose of providing a connection). Responsible disclosure denotes the protection of citizen privacy by minimizing the disclosure of personally identifiable informatio</w:t>
      </w:r>
      <w:r w:rsidR="00C12FAB">
        <w:rPr>
          <w:lang w:val="en-US"/>
        </w:rPr>
        <w:t>n.</w:t>
      </w:r>
    </w:p>
    <w:p w:rsidR="00CE27CD" w:rsidRDefault="00CE27CD" w:rsidP="00CE27CD">
      <w:pPr>
        <w:rPr>
          <w:lang w:val="en-US"/>
        </w:rPr>
      </w:pPr>
      <w:r>
        <w:rPr>
          <w:lang w:val="en-US"/>
        </w:rPr>
        <w:t xml:space="preserve">These indices allow us to shift the current conversation to </w:t>
      </w:r>
      <w:r w:rsidR="00C12FAB">
        <w:rPr>
          <w:lang w:val="en-US"/>
        </w:rPr>
        <w:t>a new construct</w:t>
      </w:r>
      <w:r>
        <w:rPr>
          <w:lang w:val="en-US"/>
        </w:rPr>
        <w:t xml:space="preserve"> in which we can have a more nuanced approach on the governance vs privacy debate as shown below:</w:t>
      </w:r>
    </w:p>
    <w:p w:rsidR="008A37E9" w:rsidRDefault="008A37E9" w:rsidP="00C12FAB">
      <w:pPr>
        <w:rPr>
          <w:lang w:val="en-US"/>
        </w:rPr>
      </w:pPr>
    </w:p>
    <w:p w:rsidR="00C12FAB" w:rsidRDefault="00C12FAB" w:rsidP="00C12FAB">
      <w:pPr>
        <w:jc w:val="center"/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77A3A2DD" wp14:editId="5BABF650">
            <wp:extent cx="4578350" cy="3841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84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347F" w:rsidRDefault="00C354B6" w:rsidP="00C12FAB">
      <w:pPr>
        <w:rPr>
          <w:lang w:val="en-US"/>
        </w:rPr>
      </w:pPr>
      <w:r>
        <w:rPr>
          <w:lang w:val="en-US"/>
        </w:rPr>
        <w:t xml:space="preserve">Our research shows that equilibria between governance efficiency and information privacy is not a </w:t>
      </w:r>
      <w:proofErr w:type="gramStart"/>
      <w:r>
        <w:rPr>
          <w:lang w:val="en-US"/>
        </w:rPr>
        <w:t>zero</w:t>
      </w:r>
      <w:r w:rsidR="00D379FC">
        <w:rPr>
          <w:lang w:val="en-US"/>
        </w:rPr>
        <w:t xml:space="preserve"> sum</w:t>
      </w:r>
      <w:proofErr w:type="gramEnd"/>
      <w:r w:rsidR="00D379FC">
        <w:rPr>
          <w:lang w:val="en-US"/>
        </w:rPr>
        <w:t xml:space="preserve"> game, as shown in the figure above.  </w:t>
      </w:r>
      <w:r w:rsidR="00C63CAC">
        <w:rPr>
          <w:lang w:val="en-US"/>
        </w:rPr>
        <w:t xml:space="preserve"> By calibrating their existing practices around data collection, data use and data disclosure using the GEI and IPI, city managers can achieve </w:t>
      </w:r>
      <w:r w:rsidR="00C63CAC">
        <w:rPr>
          <w:lang w:val="en-US"/>
        </w:rPr>
        <w:t xml:space="preserve">a high level of efficiency while ensuring the privacy of citizens’ information is not compromised in a harmful manner. </w:t>
      </w:r>
      <w:r w:rsidR="0012347F">
        <w:rPr>
          <w:lang w:val="en-US"/>
        </w:rPr>
        <w:t>For example, city managers could decide to implement simple rules preventing financial information pertaining to citizens and their properties from being accessed by non-revenue functionaries who do not have a direct need for the information in order to perform their function without reducing the overall quality of service delivery to citizens.</w:t>
      </w:r>
    </w:p>
    <w:p w:rsidR="00C12FAB" w:rsidRDefault="00C63CAC" w:rsidP="00C12FAB">
      <w:pPr>
        <w:rPr>
          <w:lang w:val="en-US"/>
        </w:rPr>
      </w:pPr>
      <w:proofErr w:type="gramStart"/>
      <w:r>
        <w:rPr>
          <w:lang w:val="en-US"/>
        </w:rPr>
        <w:lastRenderedPageBreak/>
        <w:t>Furthermore</w:t>
      </w:r>
      <w:proofErr w:type="gramEnd"/>
      <w:r>
        <w:rPr>
          <w:lang w:val="en-US"/>
        </w:rPr>
        <w:t xml:space="preserve"> by reen</w:t>
      </w:r>
      <w:r>
        <w:rPr>
          <w:lang w:val="en-US"/>
        </w:rPr>
        <w:t xml:space="preserve">gineering processes and policies, it might even be possible for the city manager to shift the </w:t>
      </w:r>
      <w:r w:rsidR="0012347F">
        <w:rPr>
          <w:lang w:val="en-US"/>
        </w:rPr>
        <w:t xml:space="preserve">set of possible </w:t>
      </w:r>
      <w:r w:rsidR="00D379FC">
        <w:rPr>
          <w:lang w:val="en-US"/>
        </w:rPr>
        <w:t xml:space="preserve">equilibria towards further improving both </w:t>
      </w:r>
      <w:r w:rsidR="0012347F">
        <w:rPr>
          <w:lang w:val="en-US"/>
        </w:rPr>
        <w:t xml:space="preserve">governance efficiency </w:t>
      </w:r>
      <w:r w:rsidR="00D379FC">
        <w:rPr>
          <w:lang w:val="en-US"/>
        </w:rPr>
        <w:t>as well as</w:t>
      </w:r>
      <w:r w:rsidR="0012347F">
        <w:rPr>
          <w:lang w:val="en-US"/>
        </w:rPr>
        <w:t xml:space="preserve"> information privacy</w:t>
      </w:r>
      <w:r w:rsidR="00D379FC">
        <w:rPr>
          <w:lang w:val="en-US"/>
        </w:rPr>
        <w:t xml:space="preserve"> simultaneously</w:t>
      </w:r>
      <w:r w:rsidR="0012347F">
        <w:rPr>
          <w:lang w:val="en-US"/>
        </w:rPr>
        <w:t>.</w:t>
      </w:r>
    </w:p>
    <w:p w:rsidR="0012347F" w:rsidRDefault="001C7B8B" w:rsidP="00C12FAB">
      <w:pPr>
        <w:rPr>
          <w:lang w:val="en-US"/>
        </w:rPr>
      </w:pPr>
      <w:r>
        <w:rPr>
          <w:lang w:val="en-US"/>
        </w:rPr>
        <w:t>The construct of the GEI and IPI has been designed in a manner that allows it to scale from the level of an individual form or service, to entire departments and the city at large, thus enabling more targeted policies.</w:t>
      </w:r>
      <w:r w:rsidR="008D3F4E">
        <w:rPr>
          <w:lang w:val="en-US"/>
        </w:rPr>
        <w:t xml:space="preserve"> </w:t>
      </w:r>
      <w:r w:rsidR="00910682">
        <w:rPr>
          <w:lang w:val="en-US"/>
        </w:rPr>
        <w:t>We believe the GEI and IPI could act as a significant tool in helping city managers make decisions on the collection, usage and disclosure of data within their jurisdictions in a structured manner.</w:t>
      </w:r>
      <w:r w:rsidR="00910682">
        <w:rPr>
          <w:lang w:val="en-US"/>
        </w:rPr>
        <w:t xml:space="preserve"> It is </w:t>
      </w:r>
      <w:r w:rsidR="008D3F4E">
        <w:rPr>
          <w:lang w:val="en-US"/>
        </w:rPr>
        <w:t xml:space="preserve">hope that the GEI and IPI will </w:t>
      </w:r>
      <w:r w:rsidR="00D379FC">
        <w:rPr>
          <w:lang w:val="en-US"/>
        </w:rPr>
        <w:t xml:space="preserve">act as a </w:t>
      </w:r>
      <w:r w:rsidR="00910682">
        <w:rPr>
          <w:lang w:val="en-US"/>
        </w:rPr>
        <w:t xml:space="preserve">crucial </w:t>
      </w:r>
      <w:r w:rsidR="00D379FC">
        <w:rPr>
          <w:lang w:val="en-US"/>
        </w:rPr>
        <w:t>building block for</w:t>
      </w:r>
      <w:r w:rsidR="008D3F4E">
        <w:rPr>
          <w:lang w:val="en-US"/>
        </w:rPr>
        <w:t xml:space="preserve"> cities to effectively unlock data economies without compromising citizen privacy by identifying which data and data aggregates can be released safely to spur data driven innovation.</w:t>
      </w:r>
    </w:p>
    <w:sectPr w:rsidR="001234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64A5B"/>
    <w:multiLevelType w:val="hybridMultilevel"/>
    <w:tmpl w:val="34364188"/>
    <w:lvl w:ilvl="0" w:tplc="CD76E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53D71"/>
    <w:multiLevelType w:val="hybridMultilevel"/>
    <w:tmpl w:val="C01A31C6"/>
    <w:lvl w:ilvl="0" w:tplc="138EB672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CBB6E16"/>
    <w:multiLevelType w:val="hybridMultilevel"/>
    <w:tmpl w:val="346C782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comments" w:enforcement="1" w:cryptProviderType="rsaAES" w:cryptAlgorithmClass="hash" w:cryptAlgorithmType="typeAny" w:cryptAlgorithmSid="14" w:cryptSpinCount="100000" w:hash="AD93k3eY1ElwWaX9bXu0NENPELpf4RdsmWkrLck0OcTBBsvlSxgHokTMK6JVxb170ugTR1ek6CbJz6jHtOxM5Q==" w:salt="XuQ9kpva+prUCRQo9PZU3w==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4D"/>
    <w:rsid w:val="0003586D"/>
    <w:rsid w:val="000A684D"/>
    <w:rsid w:val="000E65A7"/>
    <w:rsid w:val="0012347F"/>
    <w:rsid w:val="00134825"/>
    <w:rsid w:val="001C7B8B"/>
    <w:rsid w:val="001D313C"/>
    <w:rsid w:val="001D6EC6"/>
    <w:rsid w:val="00237ADD"/>
    <w:rsid w:val="002D383F"/>
    <w:rsid w:val="002E49E6"/>
    <w:rsid w:val="002F11F0"/>
    <w:rsid w:val="003C4E81"/>
    <w:rsid w:val="005A49F3"/>
    <w:rsid w:val="005F7F03"/>
    <w:rsid w:val="006C34C1"/>
    <w:rsid w:val="0071485A"/>
    <w:rsid w:val="008143C0"/>
    <w:rsid w:val="008A37E9"/>
    <w:rsid w:val="008D2556"/>
    <w:rsid w:val="008D3F4E"/>
    <w:rsid w:val="00910682"/>
    <w:rsid w:val="00927A44"/>
    <w:rsid w:val="00990648"/>
    <w:rsid w:val="009A3DC0"/>
    <w:rsid w:val="009C0ACC"/>
    <w:rsid w:val="00A81649"/>
    <w:rsid w:val="00A816C3"/>
    <w:rsid w:val="00AC2503"/>
    <w:rsid w:val="00AF626A"/>
    <w:rsid w:val="00B370A5"/>
    <w:rsid w:val="00B71EC1"/>
    <w:rsid w:val="00B96191"/>
    <w:rsid w:val="00C12FAB"/>
    <w:rsid w:val="00C354B6"/>
    <w:rsid w:val="00C63CAC"/>
    <w:rsid w:val="00C83151"/>
    <w:rsid w:val="00C86A4E"/>
    <w:rsid w:val="00CC564A"/>
    <w:rsid w:val="00CE27CD"/>
    <w:rsid w:val="00D1193E"/>
    <w:rsid w:val="00D379FC"/>
    <w:rsid w:val="00D97B6E"/>
    <w:rsid w:val="00DC7083"/>
    <w:rsid w:val="00E97B2C"/>
    <w:rsid w:val="00EA47EC"/>
    <w:rsid w:val="00EB2306"/>
    <w:rsid w:val="00F126AD"/>
    <w:rsid w:val="00F61858"/>
    <w:rsid w:val="00FF22F0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553A5"/>
  <w15:docId w15:val="{62F52A8F-6AD9-4211-89F5-19F4496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2F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F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54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F542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542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28"/>
    <w:rPr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878</Words>
  <Characters>5010</Characters>
  <Application>Microsoft Office Word</Application>
  <DocSecurity>8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Ravichander</dc:creator>
  <cp:keywords/>
  <dc:description/>
  <cp:lastModifiedBy>Gautham Ravichander</cp:lastModifiedBy>
  <cp:revision>5</cp:revision>
  <dcterms:created xsi:type="dcterms:W3CDTF">2019-01-30T07:09:00Z</dcterms:created>
  <dcterms:modified xsi:type="dcterms:W3CDTF">2019-01-30T07:10:00Z</dcterms:modified>
</cp:coreProperties>
</file>