
<file path=[Content_Types].xml><?xml version="1.0" encoding="utf-8"?>
<ns0:Types xmlns:ns0="http://schemas.openxmlformats.org/package/2006/content-types">
  <ns0:Default Extension="xml" ContentType="application/xml"/>
  <ns0:Default Extension="rels" ContentType="application/vnd.openxmlformats-package.relationships+xml"/>
  <ns0:Default Extension="odttf" ContentType="application/vnd.openxmlformats-officedocument.obfuscatedFont"/>
  <ns0:Override PartName="/word/webSettings.xml" ContentType="application/vnd.openxmlformats-officedocument.wordprocessingml.webSettings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theme/theme1.xml" ContentType="application/vnd.openxmlformats-officedocument.theme+xml"/>
  <ns0:Override PartName="/word/fontTable.xml" ContentType="application/vnd.openxmlformats-officedocument.wordprocessingml.fontTable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docProps/custom.xml" ContentType="application/vnd.openxmlformats-officedocument.custom-properties+xml"/>
  <ns0:Override PartName="/word/styles.xml" ContentType="application/vnd.openxmlformats-officedocument.wordprocessingml.styles+xml"/>
  <ns0:Override PartName="/word/document.xml" ContentType="application/vnd.openxmlformats-officedocument.wordprocessingml.document.main+xml"/>
  <ns0:Override PartName="/word/comments.xml" ContentType="application/vnd.openxmlformats-officedocument.wordprocessingml.comments+xml"/>
  <ns0:Override PartName="/word/footnotes.xml" ContentType="application/vnd.openxmlformats-officedocument.wordprocessingml.footnotes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ns0:Relationship Id="rId4" Type="http://schemas.openxmlformats.org/officeDocument/2006/relationships/extended-properties" Target="docProps/app.xml" /><ns0:Relationship Id="rId3" Type="http://schemas.openxmlformats.org/package/2006/relationships/metadata/core-properties" Target="docProps/core.xml" /><ns0:Relationship Id="rId5" Type="http://schemas.openxmlformats.org/officeDocument/2006/relationships/custom-properties" Target="docProps/custom.xml" /></ns0: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神经信号研究报告"/>
      <w:r>
        <w:rPr>
          <w:rFonts w:hint="eastAsia"/>
        </w:rPr>
        <w:t xml:space="preserve">神经信号研究报告</w:t>
      </w:r>
      <w:bookmarkEnd w:id="9"/>
    </w:p>
    <w:p>
      <w:pPr>
        <w:pStyle w:val="FirstParagraph"/>
      </w:pPr>
      <w:r>
        <w:rPr>
          <w:rFonts w:hint="eastAsia"/>
        </w:rPr>
        <w:t xml:space="preserve">本样例覆盖中文、长文本、表格、标题和列表的组合排版。</w:t>
      </w:r>
    </w:p>
    <w:p>
      <w:pPr>
        <w:pStyle w:val="Heading2"/>
      </w:pPr>
      <w:bookmarkStart w:id="10" w:name="_能耗比较"/>
      <w:r>
        <w:rPr>
          <w:rFonts w:hint="eastAsia"/>
        </w:rPr>
        <w:t xml:space="preserve">能耗比较</w:t>
      </w:r>
      <w:bookmarkEnd w:id="10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4752"/>
        <w:gridCol w:w="1584"/>
      </w:tblGrid>
      <w:tr>
        <w:trPr>
          <w:tblHeader w:val="on"/>
        </w:trPr>
        <w:tc>
          <w:tcPr/>
          <w:p>
            <w:pPr>
              <w:pStyle w:val="TableBody"/>
              <w:jc w:val="lef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TableBody"/>
              <w:jc w:val="left"/>
            </w:pPr>
            <w:r>
              <w:rPr>
                <w:rFonts w:hint="eastAsia"/>
              </w:rPr>
              <w:t xml:space="preserve">依据</w:t>
            </w:r>
          </w:p>
        </w:tc>
        <w:tc>
          <w:tcPr/>
          <w:p>
            <w:pPr>
              <w:pStyle w:val="TableBody"/>
              <w:jc w:val="right"/>
            </w:pPr>
            <w:r>
              <w:rPr>
                <w:rFonts w:hint="eastAsia"/>
              </w:rPr>
              <w:t xml:space="preserve">ATP/分子</w:t>
            </w:r>
          </w:p>
        </w:tc>
      </w:tr>
      <w:tr>
        <w:tc>
          <w:tcPr/>
          <w:p>
            <w:pPr>
              <w:pStyle w:val="TableBody"/>
              <w:jc w:val="left"/>
            </w:pPr>
            <w:r>
              <w:rPr>
                <w:rFonts w:hint="eastAsia"/>
              </w:rPr>
              <w:t xml:space="preserve">肽/蛋白类</w:t>
            </w:r>
          </w:p>
        </w:tc>
        <w:tc>
          <w:tcPr/>
          <w:p>
            <w:pPr>
              <w:pStyle w:val="TableBody"/>
              <w:jc w:val="left"/>
            </w:pPr>
            <w:r>
              <w:t xml:space="preserve">4–5 </w:t>
            </w:r>
            <w:r>
              <w:rPr>
                <w:rFonts w:hint="eastAsia"/>
              </w:rPr>
              <w:t xml:space="preserve">ATP/残基；活化与核糖体延伸</w:t>
            </w:r>
          </w:p>
        </w:tc>
        <w:tc>
          <w:tcPr/>
          <w:p>
            <w:pPr>
              <w:pStyle w:val="TableBody"/>
              <w:jc w:val="right"/>
            </w:pPr>
            <w:r>
              <w:t xml:space="preserve">4–5 × </w:t>
            </w:r>
            <w:r>
              <w:rPr>
                <w:rFonts w:hint="eastAsia"/>
              </w:rPr>
              <w:t xml:space="preserve">残基数</w:t>
            </w:r>
          </w:p>
        </w:tc>
      </w:tr>
      <w:tr>
        <w:tc>
          <w:tcPr/>
          <w:p>
            <w:pPr>
              <w:pStyle w:val="TableBody"/>
              <w:jc w:val="left"/>
            </w:pPr>
            <w:r>
              <w:rPr>
                <w:rFonts w:hint="eastAsia"/>
              </w:rPr>
              <w:t xml:space="preserve">类固醇</w:t>
            </w:r>
          </w:p>
        </w:tc>
        <w:tc>
          <w:tcPr/>
          <w:p>
            <w:pPr>
              <w:pStyle w:val="TableBody"/>
              <w:jc w:val="left"/>
            </w:pPr>
            <w:r>
              <w:rPr>
                <w:rFonts w:hint="eastAsia"/>
              </w:rPr>
              <w:t xml:space="preserve">胆固醇转化与后续羟化需要多个</w:t>
            </w:r>
            <w:r>
              <w:t xml:space="preserve"> </w:t>
            </w:r>
            <w:r>
              <w:rPr>
                <w:rFonts w:hint="eastAsia"/>
              </w:rPr>
              <w:t xml:space="preserve">NADPH，长文本应在单元格内自然换行。这里补充反应步骤与能量来源的说明，用于观察中文和英文缩写混排时的行高、表格列宽与段落间距，正文应保持常规字重。</w:t>
            </w:r>
          </w:p>
        </w:tc>
        <w:tc>
          <w:tcPr/>
          <w:p>
            <w:pPr>
              <w:pStyle w:val="TableBody"/>
              <w:jc w:val="right"/>
            </w:pPr>
            <w:r>
              <w:rPr>
                <w:rFonts w:hint="eastAsia"/>
              </w:rPr>
              <w:t xml:space="preserve">约</w:t>
            </w:r>
            <w:r>
              <w:t xml:space="preserve"> 15</w:t>
            </w:r>
          </w:p>
        </w:tc>
      </w:tr>
      <w:tr>
        <w:tc>
          <w:tcPr/>
          <w:p>
            <w:pPr>
              <w:pStyle w:val="TableBody"/>
              <w:jc w:val="left"/>
            </w:pPr>
            <w:r>
              <w:rPr>
                <w:rFonts w:hint="eastAsia"/>
              </w:rPr>
              <w:t xml:space="preserve">儿茶酚胺</w:t>
            </w:r>
          </w:p>
        </w:tc>
        <w:tc>
          <w:tcPr/>
          <w:p>
            <w:pPr>
              <w:pStyle w:val="TableBody"/>
              <w:jc w:val="left"/>
            </w:pPr>
            <w:r>
              <w:rPr>
                <w:rFonts w:hint="eastAsia"/>
              </w:rPr>
              <w:t xml:space="preserve">酪氨酸羟化酶与</w:t>
            </w:r>
            <w:r>
              <w:t xml:space="preserve"> BH4 </w:t>
            </w:r>
            <w:r>
              <w:rPr>
                <w:rFonts w:hint="eastAsia"/>
              </w:rPr>
              <w:t xml:space="preserve">再生</w:t>
            </w:r>
          </w:p>
        </w:tc>
        <w:tc>
          <w:tcPr/>
          <w:p>
            <w:pPr>
              <w:pStyle w:val="TableBody"/>
              <w:jc w:val="right"/>
            </w:pPr>
            <w:r>
              <w:rPr>
                <w:rFonts w:hint="eastAsia"/>
              </w:rPr>
              <w:t xml:space="preserve">约</w:t>
            </w:r>
            <w:r>
              <w:t xml:space="preserve"> 6</w:t>
            </w:r>
          </w:p>
        </w:tc>
      </w:tr>
    </w:tbl>
    <w:p>
      <w:pPr>
        <w:pStyle w:val="Heading2"/>
      </w:pPr>
      <w:bookmarkStart w:id="11" w:name="_研究步骤"/>
      <w:r>
        <w:rPr>
          <w:rFonts w:hint="eastAsia"/>
        </w:rPr>
        <w:t xml:space="preserve">研究步骤</w:t>
      </w:r>
      <w:bookmarkEnd w:id="11"/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整理原始资料。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对比信号通路。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保留项目列表的缩进。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保留表格正文与列表的独立样式。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汇总结果。</w:t>
      </w:r>
    </w:p>
    <w:p>
      <w:pPr>
        <w:pStyle w:val="SourceCode"/>
      </w:pPr>
      <w:r>
        <w:rPr>
          <w:rStyle w:val="NormalTok"/>
        </w:rPr>
        <w:t xml:space="preserve">energy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residues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</w:p>
    <w:sectPr>
      <w:footnotePr>
        <w:numRestart w:val="eachSect"/>
      </w:footnotePr>
      <w:pgSz w:w="11906" w:h="16838"/>
      <w:pgMar w:top="1134" w:right="1134" w:bottom="1134" w:left="1134" w:header="851" w:footer="99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PingFang SC" w:cs="Arial"/>
        <w:color w:val="24292F"/>
        <w:sz w:val="21"/>
        <w:szCs w:val="21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40" w:after="120" w:line="320" w:lineRule="auto"/>
    </w:pPr>
  </w:style>
  <w:style w:type="paragraph" w:styleId="BodyText">
    <w:name w:val="Body Text"/>
    <w:basedOn w:val="Normal"/>
    <w:link w:val="BodyTextChar"/>
    <w:qFormat/>
    <w:pPr>
      <w:spacing w:before="40" w:after="120" w:line="320" w:lineRule="auto"/>
    </w:pPr>
  </w:style>
  <w:style w:type="paragraph" w:customStyle="1" w:styleId="FirstParagraph">
    <w:name w:val="First Paragraph"/>
    <w:basedOn w:val="BodyText"/>
    <w:next w:val="BodyText"/>
    <w:qFormat/>
    <w:pPr>
      <w:spacing w:before="40" w:after="120" w:line="320" w:lineRule="auto"/>
    </w:pPr>
  </w:style>
  <w:style w:type="paragraph" w:customStyle="1" w:styleId="Compact">
    <w:name w:val="Compact"/>
    <w:basedOn w:val="BodyText"/>
    <w:qFormat/>
    <w:pPr>
      <w:spacing w:before="20" w:after="60" w:line="300" w:lineRule="auto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0" w:after="240" w:line="280" w:lineRule="auto"/>
      <w:contextualSpacing/>
      <w:jc w:val="center"/>
    </w:pPr>
    <w:rPr>
      <w:rFonts w:ascii="Arial" w:hAnsi="Arial" w:eastAsia="PingFang SC" w:cs="Arial"/>
      <w:b w:val="1"/>
      <w:bCs w:val="1"/>
      <w:color w:val="12324F"/>
      <w:sz w:val="34"/>
      <w:szCs w:val="3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Arial" w:hAnsi="Arial" w:eastAsia="PingFang SC" w:cs="Arial"/>
      <w:b w:val="1"/>
      <w:bCs w:val="1"/>
      <w:color w:val="12324F"/>
      <w:sz w:val="34"/>
      <w:szCs w:val="34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240" w:line="280" w:lineRule="auto"/>
      <w:outlineLvl w:val="0"/>
    </w:pPr>
    <w:rPr>
      <w:rFonts w:ascii="Arial" w:hAnsi="Arial" w:eastAsia="PingFang SC" w:cs="Arial"/>
      <w:b w:val="1"/>
      <w:bCs w:val="1"/>
      <w:color w:val="12324F"/>
      <w:sz w:val="34"/>
      <w:szCs w:val="3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60" w:after="160" w:line="280" w:lineRule="auto"/>
      <w:outlineLvl w:val="1"/>
    </w:pPr>
    <w:rPr>
      <w:rFonts w:ascii="Arial" w:hAnsi="Arial" w:eastAsia="PingFang SC" w:cs="Arial"/>
      <w:b w:val="1"/>
      <w:bCs w:val="1"/>
      <w:color w:val="1F4E79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280" w:lineRule="auto"/>
      <w:outlineLvl w:val="2"/>
    </w:pPr>
    <w:rPr>
      <w:rFonts w:ascii="Arial" w:hAnsi="Arial" w:eastAsia="PingFang SC" w:cs="Arial"/>
      <w:b w:val="1"/>
      <w:bCs w:val="1"/>
      <w:color w:val="2E6DA4"/>
      <w:sz w:val="23"/>
      <w:szCs w:val="23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100" w:line="280" w:lineRule="auto"/>
      <w:outlineLvl w:val="3"/>
    </w:pPr>
    <w:rPr>
      <w:rFonts w:ascii="Arial" w:hAnsi="Arial" w:eastAsia="PingFang SC" w:cs="Arial"/>
      <w:b w:val="1"/>
      <w:bCs w:val="1"/>
      <w:i/>
      <w:iCs/>
      <w:color w:val="24292F"/>
      <w:sz w:val="21"/>
      <w:szCs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00" w:after="100" w:line="280" w:lineRule="auto"/>
      <w:outlineLvl w:val="4"/>
    </w:pPr>
    <w:rPr>
      <w:rFonts w:ascii="Arial" w:hAnsi="Arial" w:eastAsia="PingFang SC" w:cs="Arial"/>
      <w:b w:val="1"/>
      <w:bCs w:val="1"/>
      <w:color w:val="24292F"/>
      <w:sz w:val="21"/>
      <w:szCs w:val="2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200" w:after="100" w:line="280" w:lineRule="auto"/>
      <w:outlineLvl w:val="5"/>
    </w:pPr>
    <w:rPr>
      <w:rFonts w:ascii="Arial" w:hAnsi="Arial" w:eastAsia="PingFang SC" w:cs="Arial"/>
      <w:b w:val="1"/>
      <w:bCs w:val="1"/>
      <w:i/>
      <w:iCs/>
      <w:color w:val="24292F"/>
      <w:sz w:val="21"/>
      <w:szCs w:val="21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200" w:after="100" w:line="280" w:lineRule="auto"/>
      <w:outlineLvl w:val="6"/>
    </w:pPr>
    <w:rPr>
      <w:rFonts w:ascii="Arial" w:hAnsi="Arial" w:eastAsia="PingFang SC" w:cs="Arial"/>
      <w:b w:val="1"/>
      <w:bCs w:val="1"/>
      <w:color w:val="24292F"/>
      <w:sz w:val="21"/>
      <w:szCs w:val="21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before="200" w:after="100" w:line="280" w:lineRule="auto"/>
      <w:outlineLvl w:val="7"/>
    </w:pPr>
    <w:rPr>
      <w:rFonts w:ascii="Arial" w:hAnsi="Arial" w:eastAsia="PingFang SC" w:cs="Arial"/>
      <w:b w:val="1"/>
      <w:bCs w:val="1"/>
      <w:i/>
      <w:iCs/>
      <w:color w:val="24292F"/>
      <w:sz w:val="21"/>
      <w:szCs w:val="21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before="200" w:after="100" w:line="280" w:lineRule="auto"/>
      <w:outlineLvl w:val="8"/>
    </w:pPr>
    <w:rPr>
      <w:rFonts w:ascii="Arial" w:hAnsi="Arial" w:eastAsia="PingFang SC" w:cs="Arial"/>
      <w:b w:val="1"/>
      <w:bCs w:val="1"/>
      <w:color w:val="24292F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Arial" w:hAnsi="Arial" w:eastAsia="PingFang SC" w:cs="Arial"/>
      <w:b w:val="1"/>
      <w:bCs w:val="1"/>
      <w:color w:val="12324F"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Arial" w:hAnsi="Arial" w:eastAsia="PingFang SC" w:cs="Arial"/>
      <w:b w:val="1"/>
      <w:bCs w:val="1"/>
      <w:color w:val="1F4E7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Arial" w:hAnsi="Arial" w:eastAsia="PingFang SC" w:cs="Arial"/>
      <w:b w:val="1"/>
      <w:bCs w:val="1"/>
      <w:color w:val="2E6DA4"/>
      <w:sz w:val="23"/>
      <w:szCs w:val="2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Arial" w:hAnsi="Arial" w:eastAsia="PingFang SC" w:cs="Arial"/>
      <w:b w:val="1"/>
      <w:bCs w:val="1"/>
      <w:i/>
      <w:iCs/>
      <w:color w:val="24292F"/>
      <w:sz w:val="21"/>
      <w:szCs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Arial" w:hAnsi="Arial" w:eastAsia="PingFang SC" w:cs="Arial"/>
      <w:b w:val="1"/>
      <w:bCs w:val="1"/>
      <w:color w:val="24292F"/>
      <w:sz w:val="2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Arial" w:hAnsi="Arial" w:eastAsia="PingFang SC" w:cs="Arial"/>
      <w:b w:val="1"/>
      <w:bCs w:val="1"/>
      <w:i/>
      <w:iCs/>
      <w:color w:val="24292F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Arial" w:hAnsi="Arial" w:eastAsia="PingFang SC" w:cs="Arial"/>
      <w:b w:val="1"/>
      <w:bCs w:val="1"/>
      <w:color w:val="24292F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Arial" w:hAnsi="Arial" w:eastAsia="PingFang SC" w:cs="Arial"/>
      <w:b w:val="1"/>
      <w:bCs w:val="1"/>
      <w:i/>
      <w:iCs/>
      <w:color w:val="24292F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Arial" w:hAnsi="Arial" w:eastAsia="PingFang SC" w:cs="Arial"/>
      <w:b w:val="1"/>
      <w:bCs w:val="1"/>
      <w:color w:val="24292F"/>
      <w:sz w:val="21"/>
      <w:szCs w:val="21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rPr>
      <w:rFonts w:ascii="Arial" w:hAnsi="Arial" w:eastAsia="PingFang SC" w:cs="Arial"/>
      <w:sz w:val="19"/>
      <w:szCs w:val="19"/>
    </w:rPr>
    <w:tblPr>
      <w:tblInd w:w="0" w:type="dxa"/>
      <w:tblBorders>
        <w:top w:val="single" w:sz="4" w:color="808080" w:space="0"/>
        <w:left w:val="single" w:sz="4" w:color="808080" w:space="0"/>
        <w:bottom w:val="single" w:sz="4" w:color="808080" w:space="0"/>
        <w:right w:val="single" w:sz="4" w:color="808080" w:space="0"/>
        <w:insideH w:val="single" w:sz="4" w:color="808080" w:space="0"/>
        <w:insideV w:val="single" w:sz="4" w:color="808080" w:space="0"/>
      </w:tblBorders>
      <w:tblCellMar>
        <w:top w:w="60" w:type="dxa"/>
        <w:left w:w="80" w:type="dxa"/>
        <w:bottom w:w="60" w:type="dxa"/>
        <w:right w:w="80" w:type="dxa"/>
      </w:tblCellMar>
    </w:tblPr>
    <w:tblStylePr w:type="firstRow">
      <w:rPr>
        <w:b/>
      </w:rPr>
      <w:tcPr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TableBody" w:customStyle="1">
    <w:name w:val="Table Body"/>
    <w:basedOn w:val="Normal"/>
    <w:pPr>
      <w:spacing w:before="20" w:after="20" w:line="240" w:lineRule="auto"/>
    </w:pPr>
    <w:rPr>
      <w:rFonts w:ascii="Arial" w:hAnsi="Arial" w:eastAsia="PingFang SC" w:cs="Arial"/>
      <w:sz w:val="19"/>
      <w:szCs w:val="19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2026-10-26T09:37:59Z</dcterms:created>
  <dcterms:modified xsi:type="dcterms:W3CDTF">2026-10-26T09:37:59Z</dcterms:modified>
</cp:coreProperties>
</file>

<file path=docProps/custom.xml><?xml version="1.0" encoding="utf-8"?>
<ns0:Properties xmlns:ns0="http://schemas.openxmlformats.org/officeDocument/2006/custom-properties" xmlns:ns1="http://schemas.openxmlformats.org/officeDocument/2006/docPropsVTypes">
  <ns0:property fmtid="{D5CDD505-2E9C-101B-9397-08002B2CF9AE}" pid="2" name="OpenScienceConversion">
    <ns1:lpwstr>{"converter_version": "3", "input_format": "markdown", "pandoc_version": "3.12.1", "profile": "open-science-report-v3", "reference_sha256": "2d2c7f415d3d0b009bcc0b7212a5aad7241c738e2c7a5e2ea6aae57287e8852e", "source_sha256": "a3130199972887e45c6787237e840653b809673d2c9cf4598637a2d98b93ab07"}</ns1:lpwstr>
  </ns0:property>
</ns0:Properties>
</file>