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Default Extension="odttf" ContentType="application/vnd.openxmlformats-officedocument.obfuscatedFont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4" Type="http://schemas.openxmlformats.org/officeDocument/2006/relationships/extended-properties" Target="docProps/app.xml" /><ns0:Relationship Id="rId3" Type="http://schemas.openxmlformats.org/package/2006/relationships/metadata/core-properties" Target="docProps/core.xml" /><ns0:Relationship Id="rId5" Type="http://schemas.openxmlformats.org/officeDocument/2006/relationships/custom-properties" Target="docProps/custom.xml" /></ns0: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神经信号研究报告"/>
      <w:r>
        <w:rPr>
          <w:rFonts w:hint="eastAsia"/>
        </w:rPr>
        <w:t xml:space="preserve">神经信号研究报告</w:t>
      </w:r>
      <w:bookmarkEnd w:id="9"/>
    </w:p>
    <w:p>
      <w:pPr>
        <w:pStyle w:val="FirstParagraph"/>
      </w:pPr>
      <w:r>
        <w:rPr>
          <w:rFonts w:hint="eastAsia"/>
        </w:rPr>
        <w:t xml:space="preserve">本样例覆盖中文、长文本、表格、标题和列表的组合排版。</w:t>
      </w:r>
    </w:p>
    <w:p>
      <w:pPr>
        <w:pStyle w:val="Heading2"/>
      </w:pPr>
      <w:bookmarkStart w:id="10" w:name="_能耗比较"/>
      <w:r>
        <w:rPr>
          <w:rFonts w:hint="eastAsia"/>
        </w:rPr>
        <w:t xml:space="preserve">能耗比较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8"/>
        <w:gridCol w:w="5963"/>
        <w:gridCol w:w="1118"/>
      </w:tblGrid>
      <w:tr>
        <w:trPr>
          <w:tblHeader w:val="on"/>
        </w:trPr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依据</w:t>
            </w:r>
          </w:p>
        </w:tc>
        <w:tc>
          <w:tcPr/>
          <w:p>
            <w:pPr>
              <w:pStyle w:val="TableBody"/>
              <w:jc w:val="right"/>
            </w:pPr>
            <w:r>
              <w:rPr>
                <w:rFonts w:hint="eastAsia"/>
              </w:rPr>
              <w:t xml:space="preserve">ATP/分子</w:t>
            </w:r>
          </w:p>
        </w:tc>
      </w:tr>
      <w:tr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肽/蛋白类</w:t>
            </w:r>
          </w:p>
        </w:tc>
        <w:tc>
          <w:tcPr/>
          <w:p>
            <w:pPr>
              <w:pStyle w:val="TableBody"/>
              <w:jc w:val="left"/>
            </w:pPr>
            <w:r>
              <w:t xml:space="preserve">4–5 </w:t>
            </w:r>
            <w:r>
              <w:rPr>
                <w:rFonts w:hint="eastAsia"/>
              </w:rPr>
              <w:t xml:space="preserve">ATP/残基；活化与核糖体延伸</w:t>
            </w:r>
          </w:p>
        </w:tc>
        <w:tc>
          <w:tcPr/>
          <w:p>
            <w:pPr>
              <w:pStyle w:val="TableBody"/>
              <w:jc w:val="right"/>
            </w:pPr>
            <w:r>
              <w:t xml:space="preserve">4–5 × </w:t>
            </w:r>
            <w:r>
              <w:rPr>
                <w:rFonts w:hint="eastAsia"/>
              </w:rPr>
              <w:t xml:space="preserve">残基数</w:t>
            </w:r>
          </w:p>
        </w:tc>
      </w:tr>
      <w:tr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类固醇</w:t>
            </w:r>
          </w:p>
        </w:tc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胆固醇转化与后续羟化需要多个</w:t>
            </w:r>
            <w:r>
              <w:t xml:space="preserve"> </w:t>
            </w:r>
            <w:r>
              <w:rPr>
                <w:rFonts w:hint="eastAsia"/>
              </w:rPr>
              <w:t xml:space="preserve">NADPH，长文本应在单元格内自然换行。</w:t>
            </w:r>
          </w:p>
        </w:tc>
        <w:tc>
          <w:tcPr/>
          <w:p>
            <w:pPr>
              <w:pStyle w:val="TableBody"/>
              <w:jc w:val="right"/>
            </w:pPr>
            <w:r>
              <w:rPr>
                <w:rFonts w:hint="eastAsia"/>
              </w:rPr>
              <w:t xml:space="preserve">约</w:t>
            </w:r>
            <w:r>
              <w:t xml:space="preserve"> 15</w:t>
            </w:r>
          </w:p>
        </w:tc>
      </w:tr>
      <w:tr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儿茶酚胺</w:t>
            </w:r>
          </w:p>
        </w:tc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酪氨酸羟化酶与</w:t>
            </w:r>
            <w:r>
              <w:t xml:space="preserve"> BH4 </w:t>
            </w:r>
            <w:r>
              <w:rPr>
                <w:rFonts w:hint="eastAsia"/>
              </w:rPr>
              <w:t xml:space="preserve">再生</w:t>
            </w:r>
          </w:p>
        </w:tc>
        <w:tc>
          <w:tcPr/>
          <w:p>
            <w:pPr>
              <w:pStyle w:val="TableBody"/>
              <w:jc w:val="right"/>
            </w:pPr>
            <w:r>
              <w:rPr>
                <w:rFonts w:hint="eastAsia"/>
              </w:rPr>
              <w:t xml:space="preserve">约</w:t>
            </w:r>
            <w:r>
              <w:t xml:space="preserve"> 6</w:t>
            </w:r>
          </w:p>
        </w:tc>
      </w:tr>
    </w:tbl>
    <w:p>
      <w:pPr>
        <w:pStyle w:val="Heading2"/>
      </w:pPr>
      <w:bookmarkStart w:id="11" w:name="_研究步骤"/>
      <w:r>
        <w:rPr>
          <w:rFonts w:hint="eastAsia"/>
        </w:rPr>
        <w:t xml:space="preserve">研究步骤</w:t>
      </w:r>
      <w:bookmarkEnd w:id="11"/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整理原始资料。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对比信号通路。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保留项目列表的缩进。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保留表格正文与列表的独立样式。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汇总结果。</w:t>
      </w:r>
    </w:p>
    <w:p>
      <w:pPr>
        <w:pStyle w:val="SourceCode"/>
      </w:pPr>
      <w:r>
        <w:rPr>
          <w:rStyle w:val="NormalTok"/>
        </w:rPr>
        <w:t xml:space="preserve">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residues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sectPr>
      <w:footnotePr>
        <w:numRestart w:val="eachSect"/>
      </w:footnote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  <w:shd w:fill="F2F4F7" w:val="clear"/>
      </w:tcPr>
      <w:rPr>
        <w:b/>
      </w:rPr>
    </w:tblStylePr>
    <w:rPr>
      <w:sz w:val="21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TableBody" w:customStyle="1">
    <w:name w:val="Table Body"/>
    <w:basedOn w:val="Normal"/>
    <w:pPr>
      <w:spacing w:before="0" w:after="40" w:line="240" w:lineRule="auto"/>
    </w:pPr>
    <w:rPr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2026-10-26T02:32:40Z</dcterms:created>
  <dcterms:modified xsi:type="dcterms:W3CDTF">2026-10-26T02:32:40Z</dcterms:modified>
</cp:coreProperties>
</file>

<file path=docProps/custom.xml><?xml version="1.0" encoding="utf-8"?>
<ns0:Properties xmlns:ns0="http://schemas.openxmlformats.org/officeDocument/2006/custom-properties" xmlns:ns1="http://schemas.openxmlformats.org/officeDocument/2006/docPropsVTypes">
  <ns0:property fmtid="{D5CDD505-2E9C-101B-9397-08002B2CF9AE}" pid="2" name="OpenScienceConversion">
    <ns1:lpwstr>{"converter_version": "1", "input_format": "markdown", "pandoc_version": "3.12.1", "profile": "open-science-report-v1", "reference_sha256": "3d69abafa33a8e070a7203f02269acca65783e33d4be7707d068f700c243375a", "source_sha256": "e7a838a19cf06b6007c5aa70d401b778ab8b135f6b835c33dfc92b9e3665a2f7"}</ns1:lpwstr>
  </ns0:property>
</ns0:Properties>
</file>