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Унифицированная форма № КС-2</w:t>
      </w:r>
    </w:p>
    <w:p>
      <w:pPr>
        <w:spacing w:after="12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Утверждена постановлением Госкомстата России от 11.11.99 № 100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198"/>
        <w:gridCol w:w="2300"/>
        <w:gridCol w:w="13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Код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 по ОКУД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0322005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Инвестор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Заказчик (генподрядчик)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Подрядчик (субподрядчик)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ООО «СЗСМЭУ», ИНН 7841366849, 199155, г. Санкт-Петербург, ул. Уральская, д. 17, к. 3, лит. Е, помещ. 23Н, офис 33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82117140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Стройка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Ремонт асфальтобетонного покрытия по адресу: 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деятельности по ОКДП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подряда: номер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16/08-2026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дата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16.08.2026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операции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000"/>
        <w:gridCol w:w="3398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tbl>
            <w:tblPr>
              <w:tblW w:type="dxa" w:w="8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000"/>
              <w:gridCol w:w="2000"/>
              <w:gridCol w:w="2000"/>
            </w:tblGrid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Номер документа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Дата составления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Отчётный период: с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по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18.08.2026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</w:tr>
          </w:tbl>
          <w:p/>
        </w:tc>
        <w:tc>
          <w:tcPr>
            <w:tcW w:type="dxa" w:w="3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6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</w:t>
      </w:r>
    </w:p>
    <w:p>
      <w:pPr>
        <w:spacing w:after="12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ПРИЁМКЕ ВЫПОЛНЕННЫХ РАБОТ</w:t>
      </w:r>
    </w:p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Сметная (договорная) стоимость в соответствии с договором подряда (субподряда):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4 079 611,52 руб.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(Локальная смета № 1 — Приложение № 1 к Договору)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6898"/>
        <w:gridCol w:w="1400"/>
        <w:gridCol w:w="11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позиции по смете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Наименование работ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единичной расценки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Количество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Цена за единицу, руб. (с НДС)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Стоимость, руб. (с НДС)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7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Регулировка высотного положения люков колодцев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3 500,00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24 500,00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Устройство выравнивающего слоя покрытия из асфальтобетонной смеси крупнозернистой, h=0,05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1 800,00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180 000,00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Проливка основания битумной эмульсией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611,00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122 200,00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Устройство покрытия из асфальтобетонной смеси мелкозернистой плотной, h=0,06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611,00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1 850,00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1 130 350,00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автомобильного крана г/п 25 т с экипажем (погрузочно-разгрузочные и такелажные работы)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мини-погрузчика типа Bobcat с оператором (восстановление дорожного полотна, перемещение грузов в стеснённых условиях)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336 000,00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строительной техники с экипажем (экскаватор-погрузчик, самосвал, каток)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588 000,00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Работы по перемещению контейнеров на территории объекта (строповка, погрузка, перемещение, установка) — фактически выполненный объём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компл.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235 244,24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235 244,24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Комплекс работ по восстановлению дорожного покрытия и планировке территории после перемещения контейнеров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компл.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128 561,52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128 561,52</w:t>
            </w:r>
          </w:p>
        </w:tc>
      </w:tr>
      <w:tr>
        <w:tc>
          <w:tcPr>
            <w:tcW w:type="dxa" w:w="1379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акту: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</w:tr>
      <w:tr>
        <w:tc>
          <w:tcPr>
            <w:tcW w:type="dxa" w:w="1379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том числе НДС 22 %: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</w:tr>
    </w:tbl>
    <w:p>
      <w:pPr>
        <w:spacing w:after="60" w:before="160" w:lin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Итого по акту: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3 104 855,76 руб. (Три миллиона сто четыре тысячи восемьсот пятьдесят пять рублей 76 копеек), в том числе НДС 22 % — 559 892,02 руб. (Пятьсот пятьдесят девять тысяч восемьсот девяносто два рубля 02 копейки).</w:t>
      </w:r>
    </w:p>
    <w:p>
      <w:pPr>
        <w:spacing w:after="240" w:before="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Вышеперечисленные работы выполнены в полном объёме, в установленные сроки и с надлежащим качеством. Заказчик претензий по объёму, качеству и срокам выполнения работ не имеет.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Сдал (Подрядчик):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 (Заказчик):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Главный инженер 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доверенности № ______ от «___» __________ 20___ г.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М.В. Суходолец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2026-10-14T07:07:01.593Z</dcterms:created>
  <dcterms:modified xsi:type="dcterms:W3CDTF">2026-10-14T07:07:01.593Z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