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b/>
          <w:bCs/>
          <w:color w:val="13314A"/>
          <w:sz w:val="56"/>
          <w:szCs w:val="56"/>
        </w:rPr>
        <w:t xml:space="preserve">AGESPORT</w:t>
      </w:r>
    </w:p>
    <w:p>
      <w:pPr>
        <w:spacing w:after="40"/>
      </w:pPr>
      <w:r>
        <w:rPr>
          <w:b/>
          <w:bCs/>
          <w:color w:val="3E8E5A"/>
          <w:sz w:val="28"/>
          <w:szCs w:val="28"/>
        </w:rPr>
        <w:t xml:space="preserve">Mapa del Talento — Entorno de testing</w:t>
      </w:r>
    </w:p>
    <w:p>
      <w:pPr>
        <w:pBdr>
          <w:bottom w:val="single" w:color="3E8E5A" w:sz="8" w:space="6"/>
        </w:pBdr>
        <w:spacing w:after="240"/>
      </w:pPr>
    </w:p>
    <w:p>
      <w:pPr>
        <w:spacing w:after="120" w:before="200"/>
      </w:pPr>
      <w:r>
        <w:rPr>
          <w:b/>
          <w:bCs/>
          <w:color w:val="13314A"/>
          <w:sz w:val="40"/>
          <w:szCs w:val="40"/>
        </w:rPr>
        <w:t xml:space="preserve">Informe de auditoría funcional, de seguridad y de experiencia</w:t>
      </w:r>
    </w:p>
    <w:p>
      <w:pPr>
        <w:spacing w:after="120"/>
      </w:pPr>
      <w:r>
        <w:rPr>
          <w:color w:val="5A6B72"/>
          <w:sz w:val="24"/>
          <w:szCs w:val="24"/>
        </w:rPr>
        <w:t xml:space="preserve">Análisis de la aplicación web </w:t>
      </w:r>
      <w:r>
        <w:rPr>
          <w:i/>
          <w:iCs/>
          <w:color w:val="5A6B72"/>
          <w:sz w:val="24"/>
          <w:szCs w:val="24"/>
        </w:rPr>
        <w:t xml:space="preserve">agesport-agesport.apps.testing.aiprojects.pro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Roles cubiertos: </w:t>
      </w:r>
      <w:r>
        <w:rPr>
          <w:sz w:val="22"/>
          <w:szCs w:val="22"/>
        </w:rPr>
        <w:t xml:space="preserve">visitante público (anónimo), acceso de socio y panel de administración.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Fecha: </w:t>
      </w:r>
      <w:r>
        <w:rPr>
          <w:sz w:val="22"/>
          <w:szCs w:val="22"/>
        </w:rPr>
        <w:t xml:space="preserve">10 de junio de 2026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Metodología: </w:t>
      </w:r>
      <w:r>
        <w:rPr>
          <w:sz w:val="22"/>
          <w:szCs w:val="22"/>
        </w:rPr>
        <w:t xml:space="preserve">navegación asistida por navegador real, inspección del DOM y de los scripts de cliente, y pruebas funcionales no destructivas sobre los endpoints de la API.</w:t>
      </w:r>
    </w:p>
    <w:p>
      <w:pPr>
        <w:pageBreakBefore/>
      </w:pP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La plataforma presenta una base técnica notablemente sólida para un entorno de pruebas: el backend protege realmente los endpoints de administración (devuelven 401 sin sesión), la sesión viaja en cookie no accesible por JavaScript, las cabeceras de seguridad están bien configuradas (CSP sin unsafe-inline en scripts, HSTS, X-Frame-Options) y el inicio de sesión no permite enumerar usuarios. El diseño visual es cuidado y coherente.</w:t>
      </w:r>
    </w:p>
    <w:p>
      <w:pPr>
        <w:spacing w:after="120"/>
      </w:pPr>
      <w:r>
        <w:t xml:space="preserve">No obstante, la auditoría detecta varios puntos que conviene corregir antes de un uso real, ordenados por prioridad: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Cumplimiento RGPD: </w:t>
      </w:r>
      <w:r>
        <w:t xml:space="preserve">los tres consentimientos del formulario de alta vienen marcados por defecto, lo que no constituye consentimiento válido.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Funcionalidad rota: </w:t>
      </w:r>
      <w:r>
        <w:t xml:space="preserve">el editor de la landing en el panel de administración no carga (endpoint 404) y la recuperación de contraseña tampoco está implementada (404).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Fuerza bruta: </w:t>
      </w:r>
      <w:r>
        <w:t xml:space="preserve">el inicio de sesión no aplica bloqueo tras intentos fallidos repetidos.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Exposición de infraestructura: </w:t>
      </w:r>
      <w:r>
        <w:t xml:space="preserve">la web pública detalla la pila tecnológica (Node.js, PostgreSQL/PostGIS, Nginx, Let's Encrypt).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Coherencia de marca y detalles de interfaz </w:t>
      </w:r>
      <w:r>
        <w:t xml:space="preserve">que restan profesionalidad (saludo “AGSport”, dato “numero” sin formatear, botones que no se desactivan).</w:t>
      </w:r>
    </w:p>
    <w:p>
      <w:pPr>
        <w:pStyle w:val="Heading2"/>
      </w:pPr>
      <w:r>
        <w:t xml:space="preserve">Cuadro de hallazgos priorizado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 y recomendación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3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RGPD / Alta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Consentimientos premarcados en el formulario de registro. Deben estar desmarcados por defecto y exigir acción afirmativa del usuario; añadir enlace a la política de privacidad.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3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/ Landing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pestaña “Landing pública” muestra “Error cargando contenido: Endpoint no encontrado”. El endpoint /api/admin/landing responde 404; el editor queda inservible.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3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/api/auth/forgot-password responde 404: la recuperación de contraseña, enlazada en la pantalla de acceso, no funciona.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3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login no aplica limitación específica por intentos fallidos (12 intentos seguidos: todos 401, ningún 429). Riesgo de fuerza bruta / relleno de credenciales.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 / Info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landing pública expone la pila técnica (Node.js, PostgreSQL/PostGIS, Nginx, Let's Encrypt). Divulgación innecesaria.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Navegación / Rol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CTA “Acceso socio” no distinguen contexto de rol: con sesión de administrador activa llevan al panel de admin.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Servidor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Rutas inexistentes devuelven 200 con la SPA principal (catch-all). admin.html se sirve a anónimos con Cache-Control: public en vez de no-store.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8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 /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Incoherencia “agesport” (logo) frente a “Administrador AGSport” (saludo del panel).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8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/ Datos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“Accesos generados” la columna TIPO muestra el valor crudo “numero” sin etiqueta legible.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8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/ Estado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“Pendientes” los botones “Seleccionar todos” y “Aprobar seleccionados” siguen activos sin solicitudes.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8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Imágenes sin atributo alt y ausencia de etiquetas Open Graph para compartir en redes.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8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style-src admite 'unsafe-inline'; HSTS sin preload; falta cabecera Permissions-Policy.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2. Alcance y arquitectura observada</w:t>
      </w:r>
    </w:p>
    <w:p>
      <w:pPr>
        <w:spacing w:after="120"/>
      </w:pPr>
      <w:r>
        <w:t xml:space="preserve">La aplicación es una SPA estática servida sobre una API REST. Se identificaron los siguientes scripts de cliente: catalogos.js, portal.js, access.js, register.js, admin-dashboard.js y admin-landing.js. La API se organiza por familias de rutas /api/auth/*, /api/admin/* y /api/socios/*.</w:t>
      </w:r>
    </w:p>
    <w:p>
      <w:pPr>
        <w:pStyle w:val="Heading2"/>
      </w:pPr>
      <w:r>
        <w:t xml:space="preserve">Roles y superficies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Visitante público (anónimo): </w:t>
      </w:r>
      <w:r>
        <w:t xml:space="preserve">landing con visor de mapa (Leaflet/OpenStreetMap) agregado por provincia, formulario de alta y pantalla de acceso.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Socio: </w:t>
      </w:r>
      <w:r>
        <w:t xml:space="preserve">inicio de sesión vía /api/auth/login/socio; área privada de directorio, observatorio y mensajería (no auditada en profundidad: requiere la contraseña real del socio demo, no disponible).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Administración: </w:t>
      </w:r>
      <w:r>
        <w:t xml:space="preserve">panel con 7 pestañas — Dashboard, Identidad organización, Pendientes, Accesos generados, Bajas, Importación masiva y Landing pública.</w:t>
      </w:r>
    </w:p>
    <w:p>
      <w:pPr>
        <w:spacing w:after="120"/>
      </w:pPr>
      <w:r>
        <w:rPr>
          <w:b/>
          <w:bCs/>
          <w:i/>
          <w:iCs/>
        </w:rPr>
        <w:t xml:space="preserve">Nota: </w:t>
      </w:r>
      <w:r>
        <w:rPr>
          <w:i/>
          <w:iCs/>
        </w:rPr>
        <w:t xml:space="preserve">no se pudo completar la auditoría del área privada del socio porque no se dispone de la contraseña del usuario demo. Se recomienda facilitar credenciales de prueba para una segunda pasada.</w:t>
      </w:r>
    </w:p>
    <w:p>
      <w:pPr>
        <w:pStyle w:val="Heading1"/>
      </w:pPr>
      <w:r>
        <w:t xml:space="preserve">3. Seguridad</w:t>
      </w:r>
    </w:p>
    <w:p>
      <w:pPr>
        <w:pStyle w:val="Heading2"/>
      </w:pPr>
      <w:r>
        <w:t xml:space="preserve">3.1 Lo que está bien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backend protege los endpoints de administración: sin cookie de sesión, /api/admin/estadisticas, /organizacion, /socios/pendientes, /socios/accesos y /bajas devuelven todos 401. La autorización no es solo de cliente.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sesión se gestiona con cookie HttpOnly (no visible desde JavaScript), lo correcto frente a robo por XSS.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hay enumeración de usuarios: el login devuelve el mismo mensaje genérico “Credenciales inválidas” tanto para un email existente como inexistente.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Cabeceras de seguridad presentes (Helmet): Content-Security-Policy con script-src sin 'unsafe-inline' ni 'unsafe-eval', object-src 'none', frame-ancestors 'self', HSTS con includeSubDomains, X-Frame-Options, X-Content-Type-Options y referrer-policy. Rate limiting global activo (cabeceras RateLimit-*).</w:t>
      </w:r>
    </w:p>
    <w:p>
      <w:pPr>
        <w:pStyle w:val="Heading2"/>
      </w:pPr>
      <w:r>
        <w:t xml:space="preserve">3.2 A corregir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 y recomendación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3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/ Fuerza bruta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inicios de sesión fallidos consecutivos devolvieron siempre 401 sin llegar a 429. Aplicar bloqueo progresivo por IP y por cuenta (p. ej. límite de intentos + retardo exponencial) específico en /api/auth/login/*.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Divulgación de infraestructura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Eliminar de la landing pública el bloque que detalla backend, proxy, base de datos y emisor de certificado. No aporta al visitante y facilita el reconocimiento a un atacante.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Catch-all 200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Cualquier ruta inexistente (p. ej. /dashboard.html, /portal.html) devuelve 200 con la SPA. Las rutas desconocidas deberían devolver 404; conviene separar el manejo de la API del de los estáticos.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 de páginas privadas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admin.html se entrega con Cache-Control: public, max-age=0. Para páginas de área privada usar no-store para evitar que queden en cachés intermedias.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8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Endurecer CSP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Sustituir style-src 'unsafe-inline' por hashes/nonces; añadir Permissions-Policy restrictiva; valorar el envío de HSTS con preload.</w:t>
            </w:r>
          </w:p>
        </w:tc>
      </w:tr>
    </w:tbl>
    <w:p>
      <w:pPr>
        <w:pStyle w:val="Heading1"/>
      </w:pPr>
      <w:r>
        <w:t xml:space="preserve">4. Funcionalidad y errores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 y recomendación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3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Editor de landing (admin)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pestaña “Landing pública” no carga ningún campo editable y muestra “Error cargando contenido: Endpoint no encontrado”. /api/admin/landing devuelve 404. Implementar el endpoint o corregir la ruta que invoca admin-landing.js.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3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Recuperar contraseña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enlaces “¿Has olvidado tu contraseña?” (socio y admin) llaman a /api/auth/forgot-password, que responde 404. Funcionalidad anunciada pero inexistente: implementarla o retirar el enlace mientras tanto.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Validación de registro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backend valida correctamente (POST vacío o con contraseña débil → 400 “Datos de registro inválidos”), pero el mensaje es genérico. Para UX conviene devolver/validar en cliente qué campo concreto falla y reglas de contraseña visibles.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8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Estados vacíos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“Pendientes”, sin solicitudes, los botones de acción siguen habilitados; deberían desactivarse o mostrar un estado vacío más claro.</w:t>
            </w:r>
          </w:p>
        </w:tc>
      </w:tr>
    </w:tbl>
    <w:p>
      <w:pPr>
        <w:pStyle w:val="Heading1"/>
      </w:pPr>
      <w:r>
        <w:t xml:space="preserve">5. Navegación y experiencia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31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Hallazgo y recomendación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CTA y rol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“Acceso socio” desde la landing, con una sesión de administrador ya iniciada, redirige al panel de administración. Los accesos deberían reflejar el rol real o forzar selección explícita.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8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Coherencia de marca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saludo del panel dice “Administrador AGSport” mientras el logo y el resto del sitio usan “agesport”. Unificar el nombre.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8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sin formatear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columna TIPO de “Accesos generados” muestra “numero” (valor interno). Mostrar una etiqueta legible (p. ej. “Socio de número”).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8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Formulario de identidad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selector de Provincia aparece vacío (“Selecciona provincia”) aun habiendo elegido Andalucía; valorar filtrar/insinuar provincias según la comunidad.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8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Saltos de scroll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Durante el recorrido del formulario de alta se observó un salto a zona en blanco antes de asentar el contenido; revisar alturas/anclajes de las secciones largas.</w:t>
            </w:r>
          </w:p>
        </w:tc>
      </w:tr>
    </w:tbl>
    <w:p>
      <w:pPr>
        <w:pStyle w:val="Heading1"/>
      </w:pPr>
      <w:r>
        <w:t xml:space="preserve">6. Accesibilidad, SEO y calidad de cliente</w:t>
      </w:r>
    </w:p>
    <w:p>
      <w:pPr>
        <w:spacing w:after="120"/>
      </w:pPr>
      <w:r>
        <w:t xml:space="preserve">Aspectos correctos en la landing pública: atributo lang="es", un único H1, jerarquía de encabezados coherente (H1 → H2 → H3), y presencia de meta description y viewport. No se detectaron errores propios en la consola del navegador (los mensajes “Could not establish connection” provienen de la extensión del navegador, no de la aplicación).</w:t>
      </w:r>
    </w:p>
    <w:p>
      <w:pPr>
        <w:pStyle w:val="Heading2"/>
      </w:pPr>
      <w:r>
        <w:t xml:space="preserve">A mejorar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Imágenes sin atributo alt (6 de 7). Aunque varias son teselas decorativas del mapa, el logo y cualquier imagen informativa deben llevar alt descriptivo.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Ausencia de etiquetas Open Graph (og:title, og:image, og:description): al compartir el enlace en redes o mensajería no se generará una vista previa adecuada.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checkboxes de especialidades y de consentimiento no tienen atributo id, lo que dificulta la asociación etiqueta-control y la accesibilidad por lector de pantalla.</w:t>
      </w:r>
    </w:p>
    <w:p>
      <w:pPr>
        <w:pStyle w:val="Heading1"/>
      </w:pPr>
      <w:r>
        <w:t xml:space="preserve">7. Privacidad y cumplimiento (RGPD)</w:t>
      </w:r>
    </w:p>
    <w:p>
      <w:pPr>
        <w:spacing w:after="120"/>
      </w:pPr>
      <w:r>
        <w:rPr>
          <w:b/>
          <w:bCs/>
          <w:color w:val="FFFFFF"/>
          <w:sz w:val="18"/>
          <w:szCs w:val="18"/>
          <w:shd w:fill="B23B3B" w:val="clear"/>
        </w:rPr>
        <w:t xml:space="preserve">  CRÍTICO  </w:t>
      </w:r>
    </w:p>
    <w:p>
      <w:pPr>
        <w:spacing w:after="120"/>
      </w:pPr>
      <w:r>
        <w:t xml:space="preserve">En el formulario de alta, los tres consentimientos — participación del perfil en el entorno privado, visibilidad de datos profesionales y uso de mensajería interna — aparecen marcados por defecto. El RGPD (art. 4.11 y 7) exige que el consentimiento sea una manifestación libre y afirmativa; las casillas premarcadas no son consentimiento válido.</w:t>
      </w:r>
    </w:p>
    <w:p>
      <w:pPr>
        <w:pStyle w:val="Heading2"/>
      </w:pPr>
      <w:r>
        <w:t xml:space="preserve">Recomendaciones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Entregar los tres consentimientos desmarcados y obligar a marcar al menos los imprescindibles para tramitar el alta.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Separar claramente los consentimientos necesarios para el servicio de los opcionales (p. ej. mensajería).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Añadir junto a los consentimientos un enlace visible a la política de privacidad y al responsable del tratamiento.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formulario captura email profesional y personal, teléfono y organización: revisar que la política refleje estas categorías y la base jurídica.</w:t>
      </w:r>
    </w:p>
    <w:p>
      <w:pPr>
        <w:pStyle w:val="Heading1"/>
      </w:pPr>
      <w:r>
        <w:t xml:space="preserve">8. Plan de acción sugerido</w:t>
      </w:r>
    </w:p>
    <w:p>
      <w:pPr>
        <w:pStyle w:val="Heading2"/>
      </w:pPr>
      <w:r>
        <w:t xml:space="preserve">Inmediato (antes de cualquier uso real)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Desmarcar los consentimientos del registro y enlazar la política de privacidad.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Reparar el editor de landing del admin (/api/admin/landing) y la recuperación de contraseña (/api/auth/forgot-password) o retirar temporalmente sus enlaces.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Aplicar bloqueo por intentos fallidos en el login.</w:t>
      </w:r>
    </w:p>
    <w:p>
      <w:pPr>
        <w:pStyle w:val="Heading2"/>
      </w:pPr>
      <w:r>
        <w:t xml:space="preserve">Corto plazo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Retirar de la web pública el detalle de la pila tecnológica.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Corregir el catch-all para que las rutas desconocidas devuelvan 404 y servir admin.html con no-store.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Hacer que los CTA de acceso respeten el rol activo.</w:t>
      </w:r>
    </w:p>
    <w:p>
      <w:pPr>
        <w:pStyle w:val="Heading2"/>
      </w:pPr>
      <w:r>
        <w:t xml:space="preserve">Mejoras de pulido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Unificar la marca (“agesport”), etiquetar el campo TIPO, desactivar botones en estados vacíos.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Añadir alt a las imágenes, etiquetas Open Graph e id a los controles de formulario.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Endurecer CSP (style-src), añadir Permissions-Policy y valorar HSTS preload.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Facilitar credenciales de socio de prueba para auditar el área privada (directorio, observatorio y mensajería), pendiente en esta revisión.</w:t>
      </w:r>
    </w:p>
    <w:p>
      <w:pPr>
        <w:pBdr>
          <w:top w:val="single" w:color="3E8E5A" w:sz="6" w:space="6"/>
        </w:pBdr>
        <w:spacing w:before="300"/>
      </w:pPr>
    </w:p>
    <w:p>
      <w:pPr>
        <w:spacing w:after="120"/>
      </w:pPr>
      <w:r>
        <w:rPr>
          <w:i/>
          <w:iCs/>
          <w:color w:val="5A6B72"/>
          <w:sz w:val="18"/>
          <w:szCs w:val="18"/>
        </w:rPr>
        <w:t xml:space="preserve">Documento generado para Rosario / CGD E-Learning Center. </w:t>
      </w:r>
      <w:r>
        <w:rPr>
          <w:i/>
          <w:iCs/>
          <w:color w:val="5A6B72"/>
          <w:sz w:val="18"/>
          <w:szCs w:val="18"/>
        </w:rPr>
        <w:t xml:space="preserve">Auditoría sobre el entorno de testing; los hallazgos deben revalidarse tras cada despliegue.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B72"/>
        <w:sz w:val="16"/>
        <w:szCs w:val="16"/>
      </w:rPr>
      <w:t xml:space="preserve">Confidencial</w:t>
    </w:r>
    <w:r>
      <w:rPr>
        <w:sz w:val="16"/>
        <w:szCs w:val="16"/>
      </w:rPr>
      <w:t xml:space="preserve">	</w:t>
    </w:r>
    <w:r>
      <w:rPr>
        <w:color w:val="5A6B72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B72"/>
        <w:sz w:val="16"/>
        <w:szCs w:val="16"/>
      </w:rPr>
      <w:t xml:space="preserve">AGESPORT · Informe de auditoría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E8E5A" w:sz="6" w:space="4"/>
      </w:pBdr>
      <w:spacing w:after="160" w:before="280"/>
      <w:outlineLvl w:val="0"/>
    </w:pPr>
    <w:rPr>
      <w:rFonts w:ascii="Arial" w:cs="Arial" w:eastAsia="Arial" w:hAnsi="Arial"/>
      <w:b/>
      <w:bCs/>
      <w:color w:val="1331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E8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2026-06-10T07:18:15.908Z</dcterms:created>
  <dcterms:modified xsi:type="dcterms:W3CDTF">2026-06-10T07:18:15.910Z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