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También hay que trabajar la adquisición de hábitos. Se busca que la práctica tenga continuidad y que la persona disfrute de la actividad física. Ese es el objetivo de fondo de cualquier programa municipal.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