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B5CF6"/>
          <w:sz w:val="40"/>
        </w:rPr>
        <w:t>RFP Template — AI Automation Vendor Selection</w:t>
      </w:r>
    </w:p>
    <w:p>
      <w:r>
        <w:t>Aiprosol Enterprise AI Readiness Assessment Kit · 2026</w:t>
      </w:r>
    </w:p>
    <w:p>
      <w:pPr>
        <w:pStyle w:val="Heading2"/>
      </w:pPr>
      <w:r>
        <w:t>1. About this RFP</w:t>
      </w:r>
    </w:p>
    <w:p>
      <w:r>
        <w:t>This RFP template guides procurement teams through selecting AI automation vendors. It emphasises operational readiness, data governance, and exit costs — not feature lists.</w:t>
      </w:r>
    </w:p>
    <w:p>
      <w:pPr>
        <w:pStyle w:val="Heading2"/>
      </w:pPr>
      <w:r>
        <w:t>2. Buyer profile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Organisation</w:t>
            </w:r>
          </w:p>
        </w:tc>
        <w:tc>
          <w:tcPr>
            <w:tcW w:type="dxa" w:w="4320"/>
          </w:tcPr>
          <w:p>
            <w:r>
              <w:t>{{COMPANY NAME}}</w:t>
            </w:r>
          </w:p>
        </w:tc>
      </w:tr>
      <w:tr>
        <w:tc>
          <w:tcPr>
            <w:tcW w:type="dxa" w:w="4320"/>
          </w:tcPr>
          <w:p>
            <w:r>
              <w:t>Industry / sector</w:t>
            </w:r>
          </w:p>
        </w:tc>
        <w:tc>
          <w:tcPr>
            <w:tcW w:type="dxa" w:w="4320"/>
          </w:tcPr>
          <w:p>
            <w:r>
              <w:t>{{INDUSTRY}}</w:t>
            </w:r>
          </w:p>
        </w:tc>
      </w:tr>
      <w:tr>
        <w:tc>
          <w:tcPr>
            <w:tcW w:type="dxa" w:w="4320"/>
          </w:tcPr>
          <w:p>
            <w:r>
              <w:t>Annual revenue band</w:t>
            </w:r>
          </w:p>
        </w:tc>
        <w:tc>
          <w:tcPr>
            <w:tcW w:type="dxa" w:w="4320"/>
          </w:tcPr>
          <w:p>
            <w:r>
              <w:t>{{REVENUE BAND}}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{{HEADCOUNT}}</w:t>
            </w:r>
          </w:p>
        </w:tc>
      </w:tr>
      <w:tr>
        <w:tc>
          <w:tcPr>
            <w:tcW w:type="dxa" w:w="4320"/>
          </w:tcPr>
          <w:p>
            <w:r>
              <w:t>Current AI maturity (overall score)</w:t>
            </w:r>
          </w:p>
        </w:tc>
        <w:tc>
          <w:tcPr>
            <w:tcW w:type="dxa" w:w="4320"/>
          </w:tcPr>
          <w:p>
            <w:r>
              <w:t>{{SCORE}}/100</w:t>
            </w:r>
          </w:p>
        </w:tc>
      </w:tr>
      <w:tr>
        <w:tc>
          <w:tcPr>
            <w:tcW w:type="dxa" w:w="4320"/>
          </w:tcPr>
          <w:p>
            <w:r>
              <w:t>Strategic AI sponsor</w:t>
            </w:r>
          </w:p>
        </w:tc>
        <w:tc>
          <w:tcPr>
            <w:tcW w:type="dxa" w:w="4320"/>
          </w:tcPr>
          <w:p>
            <w:r>
              <w:t>{{NAME, ROLE}}</w:t>
            </w:r>
          </w:p>
        </w:tc>
      </w:tr>
    </w:tbl>
    <w:p>
      <w:pPr>
        <w:pStyle w:val="Heading2"/>
      </w:pPr>
      <w:r>
        <w:t>3. The problem we are solving</w:t>
      </w:r>
    </w:p>
    <w:p>
      <w:r>
        <w:t>{{Describe the specific operational problem, including: current cost (hours/$), scale (transactions/month), pain owner, why it matters now, why it has not been solved internally.}}</w:t>
      </w:r>
    </w:p>
    <w:p>
      <w:pPr>
        <w:pStyle w:val="Heading2"/>
      </w:pPr>
      <w:r>
        <w:t>4. What we need</w:t>
      </w:r>
    </w:p>
    <w:p>
      <w:r>
        <w:t>Must-haves:</w:t>
      </w:r>
    </w:p>
    <w:p>
      <w:pPr>
        <w:pStyle w:val="ListBullet"/>
      </w:pPr>
      <w:r>
        <w:t>Native integrations with our current stack (list below)</w:t>
      </w:r>
    </w:p>
    <w:p>
      <w:pPr>
        <w:pStyle w:val="ListBullet"/>
      </w:pPr>
      <w:r>
        <w:t>On-prem or sovereign-cloud deployment option</w:t>
      </w:r>
    </w:p>
    <w:p>
      <w:pPr>
        <w:pStyle w:val="ListBullet"/>
      </w:pPr>
      <w:r>
        <w:t>Audit logging of all AI decisions</w:t>
      </w:r>
    </w:p>
    <w:p>
      <w:pPr>
        <w:pStyle w:val="ListBullet"/>
      </w:pPr>
      <w:r>
        <w:t>PII redaction before any data leaves our perimeter</w:t>
      </w:r>
    </w:p>
    <w:p>
      <w:pPr>
        <w:pStyle w:val="ListBullet"/>
      </w:pPr>
      <w:r>
        <w:t>Defined exit / data-export procedure</w:t>
      </w:r>
    </w:p>
    <w:p>
      <w:pPr>
        <w:pStyle w:val="ListBullet"/>
      </w:pPr>
      <w:r>
        <w:t>Reference customers in our industry willing to be contacted</w:t>
      </w:r>
    </w:p>
    <w:p>
      <w:r>
        <w:t>Nice-to-haves:</w:t>
      </w:r>
    </w:p>
    <w:p>
      <w:pPr>
        <w:pStyle w:val="ListBullet"/>
      </w:pPr>
      <w:r>
        <w:t>Pre-built workflows for our use case</w:t>
      </w:r>
    </w:p>
    <w:p>
      <w:pPr>
        <w:pStyle w:val="ListBullet"/>
      </w:pPr>
      <w:r>
        <w:t>Bring-your-own-model support</w:t>
      </w:r>
    </w:p>
    <w:p>
      <w:pPr>
        <w:pStyle w:val="ListBullet"/>
      </w:pPr>
      <w:r>
        <w:t>SAML / SCIM</w:t>
      </w:r>
    </w:p>
    <w:p>
      <w:pPr>
        <w:pStyle w:val="ListBullet"/>
      </w:pPr>
      <w:r>
        <w:t>Granular feature toggles</w:t>
      </w:r>
    </w:p>
    <w:p>
      <w:pPr>
        <w:pStyle w:val="ListBullet"/>
      </w:pPr>
      <w:r>
        <w:t>European data residency</w:t>
      </w:r>
    </w:p>
    <w:p>
      <w:pPr>
        <w:pStyle w:val="Heading2"/>
      </w:pPr>
      <w:r>
        <w:t>5. Current stack to integrate with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{{HubSpot/Salesforce/...}}</w:t>
            </w:r>
          </w:p>
        </w:tc>
      </w:tr>
      <w:tr>
        <w:tc>
          <w:tcPr>
            <w:tcW w:type="dxa" w:w="4320"/>
          </w:tcPr>
          <w:p>
            <w:r>
              <w:t>ERP</w:t>
            </w:r>
          </w:p>
        </w:tc>
        <w:tc>
          <w:tcPr>
            <w:tcW w:type="dxa" w:w="4320"/>
          </w:tcPr>
          <w:p>
            <w:r>
              <w:t>{{NetSuite/SAP/...}}</w:t>
            </w:r>
          </w:p>
        </w:tc>
      </w:tr>
      <w:tr>
        <w:tc>
          <w:tcPr>
            <w:tcW w:type="dxa" w:w="4320"/>
          </w:tcPr>
          <w:p>
            <w:r>
              <w:t>Ticketing</w:t>
            </w:r>
          </w:p>
        </w:tc>
        <w:tc>
          <w:tcPr>
            <w:tcW w:type="dxa" w:w="4320"/>
          </w:tcPr>
          <w:p>
            <w:r>
              <w:t>{{Linear/Jira/...}}</w:t>
            </w:r>
          </w:p>
        </w:tc>
      </w:tr>
      <w:tr>
        <w:tc>
          <w:tcPr>
            <w:tcW w:type="dxa" w:w="4320"/>
          </w:tcPr>
          <w:p>
            <w:r>
              <w:t>Data warehouse</w:t>
            </w:r>
          </w:p>
        </w:tc>
        <w:tc>
          <w:tcPr>
            <w:tcW w:type="dxa" w:w="4320"/>
          </w:tcPr>
          <w:p>
            <w:r>
              <w:t>{{Snowflake/BigQuery/...}}</w:t>
            </w:r>
          </w:p>
        </w:tc>
      </w:tr>
      <w:tr>
        <w:tc>
          <w:tcPr>
            <w:tcW w:type="dxa" w:w="4320"/>
          </w:tcPr>
          <w:p>
            <w:r>
              <w:t>Comms</w:t>
            </w:r>
          </w:p>
        </w:tc>
        <w:tc>
          <w:tcPr>
            <w:tcW w:type="dxa" w:w="4320"/>
          </w:tcPr>
          <w:p>
            <w:r>
              <w:t>{{Slack/Teams/...}}</w:t>
            </w:r>
          </w:p>
        </w:tc>
      </w:tr>
    </w:tbl>
    <w:p>
      <w:pPr>
        <w:pStyle w:val="Heading2"/>
      </w:pPr>
      <w:r>
        <w:t>6. Evaluation criteria (40-criteria grid)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Does the product solve the stated problem end-to-end?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Does it handle our specific edge cases (list 3)?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Does it offer the 'must-have' integrations?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Are AI outputs auditable post-hoc?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Can humans intervene at any step?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SOC 2 Type II report available?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PII handling documented?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Encryption at rest + in transit?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Pen-test report (last 12 months)?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Sub-processor list disclosed?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Uptime SLA with penalties?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Incident response SLA defined?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Status page with historical data?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Disaster recovery tested?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Total monthly cost at expected scale?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Cost predictability (no usage-based surprises)?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Cost of running for 3 years vs alternative?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Hidden costs (egress, support tiers)?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Time to first value (weeks)?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Professional services available?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Customer success model defined?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Onboarding playbook documented?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Data export format documented?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Time to fully export your data?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Termination notice period acceptable?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Migration tools for switching?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Vendor health</w:t>
            </w:r>
          </w:p>
        </w:tc>
        <w:tc>
          <w:tcPr>
            <w:tcW w:type="dxa" w:w="2880"/>
          </w:tcPr>
          <w:p>
            <w:r>
              <w:t>Funding runway &gt; 24 months?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Vendor health</w:t>
            </w:r>
          </w:p>
        </w:tc>
        <w:tc>
          <w:tcPr>
            <w:tcW w:type="dxa" w:w="2880"/>
          </w:tcPr>
          <w:p>
            <w:r>
              <w:t>Customer concentration risk acceptable?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Vendor health</w:t>
            </w:r>
          </w:p>
        </w:tc>
        <w:tc>
          <w:tcPr>
            <w:tcW w:type="dxa" w:w="2880"/>
          </w:tcPr>
          <w:p>
            <w:r>
              <w:t>Leadership team stable?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Vendor health</w:t>
            </w:r>
          </w:p>
        </w:tc>
        <w:tc>
          <w:tcPr>
            <w:tcW w:type="dxa" w:w="2880"/>
          </w:tcPr>
          <w:p>
            <w:r>
              <w:t>Public roadmap aligned with our needs?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Response time SLA?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Dedicated CSM at our spend level?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24×7 vs business hours?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Knowledge base quality?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3 customers we can talk to in our industry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1 reference at our scale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1 reference that has been a customer &gt;24 months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1 reference that has churned (and reason)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Future-fit</w:t>
            </w:r>
          </w:p>
        </w:tc>
        <w:tc>
          <w:tcPr>
            <w:tcW w:type="dxa" w:w="2880"/>
          </w:tcPr>
          <w:p>
            <w:r>
              <w:t>Roadmap visibility for next 12 months?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Future-fit</w:t>
            </w:r>
          </w:p>
        </w:tc>
        <w:tc>
          <w:tcPr>
            <w:tcW w:type="dxa" w:w="2880"/>
          </w:tcPr>
          <w:p>
            <w:r>
              <w:t>Ability to bring our own model?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</w:tbl>
    <w:p>
      <w:pPr>
        <w:pStyle w:val="Heading2"/>
      </w:pPr>
      <w:r>
        <w:t>7. Contract red-flag checklist</w:t>
      </w:r>
    </w:p>
    <w:p>
      <w:pPr>
        <w:pStyle w:val="ListBullet"/>
      </w:pPr>
      <w:r>
        <w:t>Auto-renewal without notice obligation</w:t>
      </w:r>
    </w:p>
    <w:p>
      <w:pPr>
        <w:pStyle w:val="ListBullet"/>
      </w:pPr>
      <w:r>
        <w:t>Unilateral price-increase clause without cap</w:t>
      </w:r>
    </w:p>
    <w:p>
      <w:pPr>
        <w:pStyle w:val="ListBullet"/>
      </w:pPr>
      <w:r>
        <w:t>Data ownership ambiguity</w:t>
      </w:r>
    </w:p>
    <w:p>
      <w:pPr>
        <w:pStyle w:val="ListBullet"/>
      </w:pPr>
      <w:r>
        <w:t>Mandatory arbitration in unfavourable jurisdiction</w:t>
      </w:r>
    </w:p>
    <w:p>
      <w:pPr>
        <w:pStyle w:val="ListBullet"/>
      </w:pPr>
      <w:r>
        <w:t>Unilateral change-of-terms</w:t>
      </w:r>
    </w:p>
    <w:p>
      <w:pPr>
        <w:pStyle w:val="ListBullet"/>
      </w:pPr>
      <w:r>
        <w:t>IP rights to your data / configurations</w:t>
      </w:r>
    </w:p>
    <w:p>
      <w:pPr>
        <w:pStyle w:val="ListBullet"/>
      </w:pPr>
      <w:r>
        <w:t>Liability cap below 1× annual fees</w:t>
      </w:r>
    </w:p>
    <w:p>
      <w:pPr>
        <w:pStyle w:val="ListBullet"/>
      </w:pPr>
      <w:r>
        <w:t>Lack of force-majeure carve-outs for security incidents</w:t>
      </w:r>
    </w:p>
    <w:p>
      <w:pPr>
        <w:pStyle w:val="ListBullet"/>
      </w:pPr>
      <w:r>
        <w:t>Vague SLA enforcement mechanism</w:t>
      </w:r>
    </w:p>
    <w:p>
      <w:pPr>
        <w:pStyle w:val="ListBullet"/>
      </w:pPr>
      <w:r>
        <w:t>Termination penalty greater than 1 quarter of fees</w:t>
      </w:r>
    </w:p>
    <w:p>
      <w:pPr>
        <w:pStyle w:val="Heading2"/>
      </w:pPr>
      <w:r>
        <w:t>8. Response format we expect</w:t>
      </w:r>
    </w:p>
    <w:p>
      <w:r>
        <w:t>Vendors should provide: (1) a 1-page executive summary, (2) the criteria grid completed with scores + evidence, (3) all-in pricing for 3 years at our expected scale, (4) references contact details, and (5) any deviations from this RFP listed explicitly.</w:t>
      </w:r>
    </w:p>
    <w:p>
      <w:pPr>
        <w:pStyle w:val="Heading2"/>
      </w:pPr>
      <w:r>
        <w:t>9. Timeline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Issue RFP</w:t>
            </w:r>
          </w:p>
        </w:tc>
        <w:tc>
          <w:tcPr>
            <w:tcW w:type="dxa" w:w="4320"/>
          </w:tcPr>
          <w:p>
            <w:r>
              <w:t>Week 0</w:t>
            </w:r>
          </w:p>
        </w:tc>
      </w:tr>
      <w:tr>
        <w:tc>
          <w:tcPr>
            <w:tcW w:type="dxa" w:w="4320"/>
          </w:tcPr>
          <w:p>
            <w:r>
              <w:t>Vendor questions</w:t>
            </w:r>
          </w:p>
        </w:tc>
        <w:tc>
          <w:tcPr>
            <w:tcW w:type="dxa" w:w="4320"/>
          </w:tcPr>
          <w:p>
            <w:r>
              <w:t>Week 1</w:t>
            </w:r>
          </w:p>
        </w:tc>
      </w:tr>
      <w:tr>
        <w:tc>
          <w:tcPr>
            <w:tcW w:type="dxa" w:w="4320"/>
          </w:tcPr>
          <w:p>
            <w:r>
              <w:t>Q&amp;A response</w:t>
            </w:r>
          </w:p>
        </w:tc>
        <w:tc>
          <w:tcPr>
            <w:tcW w:type="dxa" w:w="4320"/>
          </w:tcPr>
          <w:p>
            <w:r>
              <w:t>Week 2</w:t>
            </w:r>
          </w:p>
        </w:tc>
      </w:tr>
      <w:tr>
        <w:tc>
          <w:tcPr>
            <w:tcW w:type="dxa" w:w="4320"/>
          </w:tcPr>
          <w:p>
            <w:r>
              <w:t>Responses due</w:t>
            </w:r>
          </w:p>
        </w:tc>
        <w:tc>
          <w:tcPr>
            <w:tcW w:type="dxa" w:w="4320"/>
          </w:tcPr>
          <w:p>
            <w:r>
              <w:t>Week 3</w:t>
            </w:r>
          </w:p>
        </w:tc>
      </w:tr>
      <w:tr>
        <w:tc>
          <w:tcPr>
            <w:tcW w:type="dxa" w:w="4320"/>
          </w:tcPr>
          <w:p>
            <w:r>
              <w:t>Shortlist demos</w:t>
            </w:r>
          </w:p>
        </w:tc>
        <w:tc>
          <w:tcPr>
            <w:tcW w:type="dxa" w:w="4320"/>
          </w:tcPr>
          <w:p>
            <w:r>
              <w:t>Week 4</w:t>
            </w:r>
          </w:p>
        </w:tc>
      </w:tr>
      <w:tr>
        <w:tc>
          <w:tcPr>
            <w:tcW w:type="dxa" w:w="4320"/>
          </w:tcPr>
          <w:p>
            <w:r>
              <w:t>Reference calls</w:t>
            </w:r>
          </w:p>
        </w:tc>
        <w:tc>
          <w:tcPr>
            <w:tcW w:type="dxa" w:w="4320"/>
          </w:tcPr>
          <w:p>
            <w:r>
              <w:t>Week 5</w:t>
            </w:r>
          </w:p>
        </w:tc>
      </w:tr>
      <w:tr>
        <w:tc>
          <w:tcPr>
            <w:tcW w:type="dxa" w:w="4320"/>
          </w:tcPr>
          <w:p>
            <w:r>
              <w:t>Final selection</w:t>
            </w:r>
          </w:p>
        </w:tc>
        <w:tc>
          <w:tcPr>
            <w:tcW w:type="dxa" w:w="4320"/>
          </w:tcPr>
          <w:p>
            <w:r>
              <w:t>Week 6</w:t>
            </w:r>
          </w:p>
        </w:tc>
      </w:tr>
      <w:tr>
        <w:tc>
          <w:tcPr>
            <w:tcW w:type="dxa" w:w="4320"/>
          </w:tcPr>
          <w:p>
            <w:r>
              <w:t>Contract execution</w:t>
            </w:r>
          </w:p>
        </w:tc>
        <w:tc>
          <w:tcPr>
            <w:tcW w:type="dxa" w:w="4320"/>
          </w:tcPr>
          <w:p>
            <w:r>
              <w:t>Week 7-8</w:t>
            </w:r>
          </w:p>
        </w:tc>
      </w:tr>
    </w:tbl>
    <w:p/>
    <w:p>
      <w:r>
        <w:rPr>
          <w:color w:val="6B7585"/>
        </w:rPr>
        <w:t>© 2026 Aiprosol Ltd · Enterprise AI Readiness Assessment Kit · Licensed to purchaser for internal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