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odklady-k-realizácii-dusíková-stanica"/>
    <w:p>
      <w:pPr>
        <w:pStyle w:val="Heading1"/>
      </w:pPr>
      <w:r>
        <w:t xml:space="preserve">Podklady k realizácii — dusíková stanica</w:t>
      </w:r>
    </w:p>
    <w:p>
      <w:pPr>
        <w:pStyle w:val="FirstParagraph"/>
      </w:pPr>
      <w:r>
        <w:rPr>
          <w:bCs/>
          <w:b/>
        </w:rPr>
        <w:t xml:space="preserve">Surové poznámky z projektu · Hydrotech s.r.o.</w:t>
      </w:r>
    </w:p>
    <w:p>
      <w:r>
        <w:pict>
          <v:rect style="width:0;height:1.5pt" o:hralign="center" o:hrstd="t" o:hr="t"/>
        </w:pict>
      </w:r>
    </w:p>
    <w:bookmarkStart w:id="20" w:name="základné-údaje"/>
    <w:p>
      <w:pPr>
        <w:pStyle w:val="Heading2"/>
      </w:pPr>
      <w:r>
        <w:t xml:space="preserve">Základné údaje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Zákazník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výrobca balených potravín, stredná Európa, cca 180 zamestnancov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Zverejniť meno?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NIE</w:t>
            </w:r>
            <w:r>
              <w:t xml:space="preserve"> </w:t>
            </w:r>
            <w:r>
              <w:t xml:space="preserve">— zákazník súhlasil len s anonymizovanou referenciou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Odvetvie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potravinárstvo, balenie do ochrannej atmosféry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apríl – jún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Projektový vedúci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Tomáš Kubica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Hodnota zákazky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41 800 € bez DPH (zariadenie + montáž + uvedenie do prevádzky)</w:t>
            </w:r>
          </w:p>
        </w:tc>
      </w:tr>
    </w:tbl>
    <w:bookmarkEnd w:id="20"/>
    <w:bookmarkStart w:id="21" w:name="poznámky-z-projektu-surové"/>
    <w:p>
      <w:pPr>
        <w:pStyle w:val="Heading2"/>
      </w:pPr>
      <w:r>
        <w:t xml:space="preserve">Poznámky z projektu (surové)</w:t>
      </w:r>
    </w:p>
    <w:p>
      <w:pPr>
        <w:numPr>
          <w:ilvl w:val="0"/>
          <w:numId w:val="1001"/>
        </w:numPr>
        <w:pStyle w:val="Compact"/>
      </w:pPr>
      <w:r>
        <w:t xml:space="preserve">Pôvodne odoberali dusík vo fľašiach, 34 dodávok ročne. Obsluha strávila výmenou fliaš zhruba 25 hodín ročne, plus manipulácia vysokozdvižným vozíkom.</w:t>
      </w:r>
    </w:p>
    <w:p>
      <w:pPr>
        <w:numPr>
          <w:ilvl w:val="0"/>
          <w:numId w:val="1001"/>
        </w:numPr>
        <w:pStyle w:val="Compact"/>
      </w:pPr>
      <w:r>
        <w:t xml:space="preserve">Zákazník najprv chcel generátor 6 Nm³/h. Pri obhliadke sme zistili špičkovú spotrebu pri rozbehu dvoch baliacich liniek naraz — 6 Nm³/h by nestačilo. Odporučili sme 12 Nm³/h so zásobníkom 1 000 l.</w:t>
      </w:r>
    </w:p>
    <w:p>
      <w:pPr>
        <w:numPr>
          <w:ilvl w:val="0"/>
          <w:numId w:val="1001"/>
        </w:numPr>
        <w:pStyle w:val="Compact"/>
      </w:pPr>
      <w:r>
        <w:t xml:space="preserve">Problém s priestorom: v hale nebolo miesto pre kompresor, riešilo sa to umiestnením do vedľajšej technickej miestnosti a rozvodom 25 m hliníkovým potrubím DN32.</w:t>
      </w:r>
    </w:p>
    <w:p>
      <w:pPr>
        <w:numPr>
          <w:ilvl w:val="0"/>
          <w:numId w:val="1001"/>
        </w:numPr>
        <w:pStyle w:val="Compact"/>
      </w:pPr>
      <w:r>
        <w:t xml:space="preserve">Montáž prebehla počas plánovanej odstávky v 24. týždni, trvala 2 dni. Uvedenie do prevádzky ďalší pol deň.</w:t>
      </w:r>
    </w:p>
    <w:p>
      <w:pPr>
        <w:numPr>
          <w:ilvl w:val="0"/>
          <w:numId w:val="1001"/>
        </w:numPr>
        <w:pStyle w:val="Compact"/>
      </w:pPr>
      <w:r>
        <w:t xml:space="preserve">Pri uvedení do prevádzky sa ukázalo, že čistota dusíka na výstupe je 99,7 %, čo je nad požadovanou hodnotou 99,5 %.</w:t>
      </w:r>
    </w:p>
    <w:p>
      <w:pPr>
        <w:numPr>
          <w:ilvl w:val="0"/>
          <w:numId w:val="1001"/>
        </w:numPr>
        <w:pStyle w:val="Compact"/>
      </w:pPr>
      <w:r>
        <w:t xml:space="preserve">Prvé meranie po troch mesiacoch: skutočná spotreba 4 640 Nm³ prepočítane na rok, teda o 10 % viac než odhad obsluhy.</w:t>
      </w:r>
    </w:p>
    <w:bookmarkEnd w:id="21"/>
    <w:bookmarkStart w:id="22" w:name="čísla"/>
    <w:p>
      <w:pPr>
        <w:pStyle w:val="Heading2"/>
      </w:pPr>
      <w:r>
        <w:t xml:space="preserve">Čísla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Položka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Zdroj dusíka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fľaše, externý dodávateľ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vlastný generátor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Ročná spotreba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4 200 Nm³ (odhad obsluhy)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4 640 Nm³ (merané, prepočet z 3 mesiacov)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za Nm³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0,71 € (elektrina + servis, vypočítané)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Náklady na dusík ročne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11 970 €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3 294 €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Prenájom fliaš a paušály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1 480 €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Čas obsluhy na manipuláciu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cca 25 h ročne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Počet dodávok ročne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Investícia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41 800 €</w:t>
            </w:r>
          </w:p>
        </w:tc>
      </w:tr>
    </w:tbl>
    <w:bookmarkEnd w:id="22"/>
    <w:bookmarkStart w:id="23" w:name="čo-zákazník-povedal"/>
    <w:p>
      <w:pPr>
        <w:pStyle w:val="Heading2"/>
      </w:pPr>
      <w:r>
        <w:t xml:space="preserve">Čo zákazník povedal</w:t>
      </w:r>
    </w:p>
    <w:p>
      <w:pPr>
        <w:pStyle w:val="FirstParagraph"/>
      </w:pPr>
      <w:r>
        <w:t xml:space="preserve">Vedúci výroby pri preberaní:</w:t>
      </w:r>
      <w:r>
        <w:t xml:space="preserve"> </w:t>
      </w:r>
      <w:r>
        <w:rPr>
          <w:iCs/>
          <w:i/>
        </w:rPr>
        <w:t xml:space="preserve">„Najviac mi pomohlo, že sme prestali riešiť, či nám fľaše prídu včas.”</w:t>
      </w:r>
    </w:p>
    <w:p>
      <w:pPr>
        <w:pStyle w:val="BodyText"/>
      </w:pPr>
      <w:r>
        <w:t xml:space="preserve">Iný citát nemáme. Súhlas so zverejnením sme zatiaľ nepýtali a meno k citátu nemáme.</w:t>
      </w:r>
    </w:p>
    <w:bookmarkEnd w:id="23"/>
    <w:bookmarkStart w:id="24" w:name="fotodokumentácia"/>
    <w:p>
      <w:pPr>
        <w:pStyle w:val="Heading2"/>
      </w:pPr>
      <w:r>
        <w:t xml:space="preserve">Fotodokumentácia</w:t>
      </w:r>
    </w:p>
    <w:p>
      <w:pPr>
        <w:numPr>
          <w:ilvl w:val="0"/>
          <w:numId w:val="1002"/>
        </w:numPr>
        <w:pStyle w:val="Compact"/>
      </w:pPr>
      <w:r>
        <w:t xml:space="preserve">4 fotografie: generátor v technickej miestnosti, zásobník, rozvod pod stropom, displej s údajmi o čistote.</w:t>
      </w:r>
    </w:p>
    <w:p>
      <w:pPr>
        <w:numPr>
          <w:ilvl w:val="0"/>
          <w:numId w:val="1002"/>
        </w:numPr>
        <w:pStyle w:val="Compact"/>
      </w:pPr>
      <w:r>
        <w:t xml:space="preserve">Fotografie neobsahujú logo zákazníka ani ľudí.</w:t>
      </w:r>
    </w:p>
    <w:bookmarkEnd w:id="24"/>
    <w:bookmarkStart w:id="25" w:name="čo-ešte-chýba"/>
    <w:p>
      <w:pPr>
        <w:pStyle w:val="Heading2"/>
      </w:pPr>
      <w:r>
        <w:t xml:space="preserve">Čo ešte chýba</w:t>
      </w:r>
    </w:p>
    <w:p>
      <w:pPr>
        <w:numPr>
          <w:ilvl w:val="0"/>
          <w:numId w:val="1003"/>
        </w:numPr>
        <w:pStyle w:val="Compact"/>
      </w:pPr>
      <w:r>
        <w:t xml:space="preserve">Súhlas zákazníka so zverejnením citátu.</w:t>
      </w:r>
    </w:p>
    <w:p>
      <w:pPr>
        <w:numPr>
          <w:ilvl w:val="0"/>
          <w:numId w:val="1003"/>
        </w:numPr>
        <w:pStyle w:val="Compact"/>
      </w:pPr>
      <w:r>
        <w:t xml:space="preserve">Meranie za celý rok (bude k dispozícii v apríli 2027).</w:t>
      </w:r>
    </w:p>
    <w:p>
      <w:pPr>
        <w:numPr>
          <w:ilvl w:val="0"/>
          <w:numId w:val="1003"/>
        </w:numPr>
        <w:pStyle w:val="Compact"/>
      </w:pPr>
      <w:r>
        <w:t xml:space="preserve">Údaj o tom, či sa zmenila zmätkovitosť pri balení (zákazník to nesleduje).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Fiktívny dokument, vytvorený ako modelový podklad. Mená a firmy sú vymyslené.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2026-09-14T10:44:17Z</dcterms:created>
  <dcterms:modified xsi:type="dcterms:W3CDTF">2026-09-14T10:44:17Z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