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1266A3"/>
          <w:sz w:val="40"/>
        </w:rPr>
        <w:t>Špecifikácia požiadaviek v1.3</w:t>
      </w:r>
    </w:p>
    <w:p>
      <w:pPr>
        <w:spacing w:after="240"/>
      </w:pPr>
      <w:r>
        <w:rPr>
          <w:b w:val="0"/>
          <w:i w:val="0"/>
          <w:color w:val="557089"/>
          <w:sz w:val="22"/>
        </w:rPr>
        <w:t>Projekt eSlužby Dolný Brod · 26. 9. 2026 · autor: Martina Kollárová</w:t>
      </w:r>
    </w:p>
    <w:p>
      <w:pPr>
        <w:pStyle w:val="Heading1"/>
      </w:pPr>
      <w:r>
        <w:t>1 Účel dokumentu</w:t>
      </w:r>
    </w:p>
    <w:p>
      <w:r>
        <w:rPr>
          <w:b w:val="0"/>
          <w:i w:val="0"/>
        </w:rPr>
        <w:t>Dokument opisuje funkčné a nefunkčné požiadavky na portál eSlužby Dolný Brod pre fázu pilotu. Priority sú určené metódou MoSCoW (MUST, SHOULD, COULD).</w:t>
      </w:r>
    </w:p>
    <w:p>
      <w:pPr>
        <w:pStyle w:val="Heading1"/>
      </w:pPr>
      <w:r>
        <w:t>2 Rozsah</w:t>
      </w:r>
    </w:p>
    <w:p>
      <w:r>
        <w:rPr>
          <w:b w:val="0"/>
          <w:i w:val="0"/>
        </w:rPr>
        <w:t>Portál umožní občanom a firmám podať vybrané žiadosti elektronicky, sledovať ich stav a prijímať rozhodnutia do elektronickej schránky. Mimo rozsahu je úprava registratúrneho systému mesta, ktorý prevádzkuje iný dodávateľ.</w:t>
      </w:r>
    </w:p>
    <w:p>
      <w:pPr>
        <w:pStyle w:val="Heading1"/>
      </w:pPr>
      <w:r>
        <w:t>3 Funkčné požiadavky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CEC"/>
          <w:left w:val="single" w:sz="4" w:space="0" w:color="C9DCEC"/>
          <w:bottom w:val="single" w:sz="4" w:space="0" w:color="C9DCEC"/>
          <w:right w:val="single" w:sz="4" w:space="0" w:color="C9DCEC"/>
          <w:insideH w:val="single" w:sz="4" w:space="0" w:color="C9DCEC"/>
          <w:insideV w:val="single" w:sz="4" w:space="0" w:color="C9DCEC"/>
        </w:tblBorders>
      </w:tblPr>
      <w:tblGrid>
        <w:gridCol w:w="907"/>
        <w:gridCol w:w="1814"/>
        <w:gridCol w:w="5669"/>
        <w:gridCol w:w="1020"/>
      </w:tblGrid>
      <w:tr>
        <w:tc>
          <w:tcPr>
            <w:tcW w:type="dxa" w:w="907"/>
            <w:shd w:val="clear" w:color="auto" w:fill="1266A3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1814"/>
            <w:shd w:val="clear" w:color="auto" w:fill="1266A3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9"/>
              </w:rPr>
              <w:t>Názov</w:t>
            </w:r>
          </w:p>
        </w:tc>
        <w:tc>
          <w:tcPr>
            <w:tcW w:type="dxa" w:w="5669"/>
            <w:shd w:val="clear" w:color="auto" w:fill="1266A3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9"/>
              </w:rPr>
              <w:t>Popis</w:t>
            </w:r>
          </w:p>
        </w:tc>
        <w:tc>
          <w:tcPr>
            <w:tcW w:type="dxa" w:w="1020"/>
            <w:shd w:val="clear" w:color="auto" w:fill="1266A3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9"/>
              </w:rPr>
              <w:t>Priorita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FR-01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Prihlásenie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Občan alebo zástupca firmy sa prihlási cez ÚPVS (eID).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MUST</w:t>
            </w:r>
          </w:p>
        </w:tc>
      </w:tr>
      <w:tr>
        <w:tc>
          <w:tcPr>
            <w:tcW w:type="dxa" w:w="907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FR-02</w:t>
            </w:r>
          </w:p>
        </w:tc>
        <w:tc>
          <w:tcPr>
            <w:tcW w:type="dxa" w:w="1814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Výber agendy</w:t>
            </w:r>
          </w:p>
        </w:tc>
        <w:tc>
          <w:tcPr>
            <w:tcW w:type="dxa" w:w="5669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Používateľ vyberie agendu a systém mu ponúkne príslušný formulár.</w:t>
            </w:r>
          </w:p>
        </w:tc>
        <w:tc>
          <w:tcPr>
            <w:tcW w:type="dxa" w:w="1020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MUST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FR-03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Vyplnenie formulára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Formulár validuje povinné polia a formát údajov pred odoslaním.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MUST</w:t>
            </w:r>
          </w:p>
        </w:tc>
      </w:tr>
      <w:tr>
        <w:tc>
          <w:tcPr>
            <w:tcW w:type="dxa" w:w="907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FR-04</w:t>
            </w:r>
          </w:p>
        </w:tc>
        <w:tc>
          <w:tcPr>
            <w:tcW w:type="dxa" w:w="1814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Prílohy</w:t>
            </w:r>
          </w:p>
        </w:tc>
        <w:tc>
          <w:tcPr>
            <w:tcW w:type="dxa" w:w="5669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Používateľ môže priložiť prílohy vo formáte PDF, JPG, PNG alebo DOCX, maximálne 25 MB na súbor a 100 MB na podanie.</w:t>
            </w:r>
          </w:p>
        </w:tc>
        <w:tc>
          <w:tcPr>
            <w:tcW w:type="dxa" w:w="1020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MUST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FR-05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Podpis podania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Podanie sa podpisuje kvalifikovaným elektronickým podpisom (KEP) pri agendách, kde to vyžaduje predpis. Pri ostatných agendách je podpis voliteľný.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SHOULD</w:t>
            </w:r>
          </w:p>
        </w:tc>
      </w:tr>
      <w:tr>
        <w:tc>
          <w:tcPr>
            <w:tcW w:type="dxa" w:w="907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FR-06</w:t>
            </w:r>
          </w:p>
        </w:tc>
        <w:tc>
          <w:tcPr>
            <w:tcW w:type="dxa" w:w="1814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Odoslanie a potvrdenie</w:t>
            </w:r>
          </w:p>
        </w:tc>
        <w:tc>
          <w:tcPr>
            <w:tcW w:type="dxa" w:w="5669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Po odoslaní dostane používateľ potvrdenie o prijatí podania s číslom podania.</w:t>
            </w:r>
          </w:p>
        </w:tc>
        <w:tc>
          <w:tcPr>
            <w:tcW w:type="dxa" w:w="1020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MUST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FR-07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Evidencia v registratúre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Prijaté podanie sa automaticky zaeviduje v registratúrnom systéme mesta.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SHOULD</w:t>
            </w:r>
          </w:p>
        </w:tc>
      </w:tr>
      <w:tr>
        <w:tc>
          <w:tcPr>
            <w:tcW w:type="dxa" w:w="907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FR-08</w:t>
            </w:r>
          </w:p>
        </w:tc>
        <w:tc>
          <w:tcPr>
            <w:tcW w:type="dxa" w:w="1814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Notifikácie</w:t>
            </w:r>
          </w:p>
        </w:tc>
        <w:tc>
          <w:tcPr>
            <w:tcW w:type="dxa" w:w="5669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Používateľ dostáva notifikácie e-mailom a do elektronickej schránky pri prijatí podania, výzve na doplnenie, vybavení a doručení rozhodnutia. Pripomienka sa odošle 3 dni pred koncom lehoty na doplnenie.</w:t>
            </w:r>
          </w:p>
        </w:tc>
        <w:tc>
          <w:tcPr>
            <w:tcW w:type="dxa" w:w="1020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MUST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FR-09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Stav podania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Používateľ vidí aktuálny stav svojich podaní a ich históriu.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MUST</w:t>
            </w:r>
          </w:p>
        </w:tc>
      </w:tr>
      <w:tr>
        <w:tc>
          <w:tcPr>
            <w:tcW w:type="dxa" w:w="907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FR-10</w:t>
            </w:r>
          </w:p>
        </w:tc>
        <w:tc>
          <w:tcPr>
            <w:tcW w:type="dxa" w:w="1814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Sledovanie lehoty</w:t>
            </w:r>
          </w:p>
        </w:tc>
        <w:tc>
          <w:tcPr>
            <w:tcW w:type="dxa" w:w="5669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Systém sleduje interný cieľ 15 dní na vybavenie a upozorní referenta 3 dni pred jeho uplynutím. Občanovi sa zobrazuje zákonná lehota.</w:t>
            </w:r>
          </w:p>
        </w:tc>
        <w:tc>
          <w:tcPr>
            <w:tcW w:type="dxa" w:w="1020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MUST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FR-11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Doručenie rozhodnutia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Rozhodnutie sa doručí do elektronickej schránky adresáta na ÚPVS.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MUST</w:t>
            </w:r>
          </w:p>
        </w:tc>
      </w:tr>
      <w:tr>
        <w:tc>
          <w:tcPr>
            <w:tcW w:type="dxa" w:w="907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FR-12</w:t>
            </w:r>
          </w:p>
        </w:tc>
        <w:tc>
          <w:tcPr>
            <w:tcW w:type="dxa" w:w="1814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Platba poplatku</w:t>
            </w:r>
          </w:p>
        </w:tc>
        <w:tc>
          <w:tcPr>
            <w:tcW w:type="dxa" w:w="5669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Používateľ môže zaplatiť správny poplatok online platobnou kartou.</w:t>
            </w:r>
          </w:p>
        </w:tc>
        <w:tc>
          <w:tcPr>
            <w:tcW w:type="dxa" w:w="1020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COULD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FR-13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Štatistiky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Vedúci odboru môže exportovať štatistiku podaní podľa agend a mesiacov.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COULD</w:t>
            </w:r>
          </w:p>
        </w:tc>
      </w:tr>
      <w:tr>
        <w:tc>
          <w:tcPr>
            <w:tcW w:type="dxa" w:w="907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FR-14</w:t>
            </w:r>
          </w:p>
        </w:tc>
        <w:tc>
          <w:tcPr>
            <w:tcW w:type="dxa" w:w="1814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Pilotná agenda</w:t>
            </w:r>
          </w:p>
        </w:tc>
        <w:tc>
          <w:tcPr>
            <w:tcW w:type="dxa" w:w="5669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Pilot sa spustí 1. 3. 2027 na agende vydávania parkovacích kariet.</w:t>
            </w:r>
          </w:p>
        </w:tc>
        <w:tc>
          <w:tcPr>
            <w:tcW w:type="dxa" w:w="1020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MUST</w:t>
            </w:r>
          </w:p>
        </w:tc>
      </w:tr>
    </w:tbl>
    <w:p>
      <w:pPr>
        <w:spacing w:after="40"/>
      </w:pPr>
    </w:p>
    <w:p>
      <w:pPr>
        <w:pStyle w:val="Heading1"/>
      </w:pPr>
      <w:r>
        <w:t>4 Nefunkčné požiadavky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CEC"/>
          <w:left w:val="single" w:sz="4" w:space="0" w:color="C9DCEC"/>
          <w:bottom w:val="single" w:sz="4" w:space="0" w:color="C9DCEC"/>
          <w:right w:val="single" w:sz="4" w:space="0" w:color="C9DCEC"/>
          <w:insideH w:val="single" w:sz="4" w:space="0" w:color="C9DCEC"/>
          <w:insideV w:val="single" w:sz="4" w:space="0" w:color="C9DCEC"/>
        </w:tblBorders>
      </w:tblPr>
      <w:tblGrid>
        <w:gridCol w:w="907"/>
        <w:gridCol w:w="1814"/>
        <w:gridCol w:w="5669"/>
        <w:gridCol w:w="1020"/>
      </w:tblGrid>
      <w:tr>
        <w:tc>
          <w:tcPr>
            <w:tcW w:type="dxa" w:w="907"/>
            <w:shd w:val="clear" w:color="auto" w:fill="1266A3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1814"/>
            <w:shd w:val="clear" w:color="auto" w:fill="1266A3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9"/>
              </w:rPr>
              <w:t>Názov</w:t>
            </w:r>
          </w:p>
        </w:tc>
        <w:tc>
          <w:tcPr>
            <w:tcW w:type="dxa" w:w="5669"/>
            <w:shd w:val="clear" w:color="auto" w:fill="1266A3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9"/>
              </w:rPr>
              <w:t>Popis</w:t>
            </w:r>
          </w:p>
        </w:tc>
        <w:tc>
          <w:tcPr>
            <w:tcW w:type="dxa" w:w="1020"/>
            <w:shd w:val="clear" w:color="auto" w:fill="1266A3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9"/>
              </w:rPr>
              <w:t>Priorita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NFR-01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Dostupnosť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Dostupnosť portálu minimálne 99,0 % mesačne mimo plánovanej údržby.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MUST</w:t>
            </w:r>
          </w:p>
        </w:tc>
      </w:tr>
      <w:tr>
        <w:tc>
          <w:tcPr>
            <w:tcW w:type="dxa" w:w="907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NFR-02</w:t>
            </w:r>
          </w:p>
        </w:tc>
        <w:tc>
          <w:tcPr>
            <w:tcW w:type="dxa" w:w="1814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Prístupnosť</w:t>
            </w:r>
          </w:p>
        </w:tc>
        <w:tc>
          <w:tcPr>
            <w:tcW w:type="dxa" w:w="5669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Portál spĺňa WCAG 2.1 na úrovni AA.</w:t>
            </w:r>
          </w:p>
        </w:tc>
        <w:tc>
          <w:tcPr>
            <w:tcW w:type="dxa" w:w="1020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MUST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NFR-03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Odozva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95 % požiadaviek má odozvu do 3 sekúnd.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SHOULD</w:t>
            </w:r>
          </w:p>
        </w:tc>
      </w:tr>
      <w:tr>
        <w:tc>
          <w:tcPr>
            <w:tcW w:type="dxa" w:w="907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NFR-04</w:t>
            </w:r>
          </w:p>
        </w:tc>
        <w:tc>
          <w:tcPr>
            <w:tcW w:type="dxa" w:w="1814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Logovanie</w:t>
            </w:r>
          </w:p>
        </w:tc>
        <w:tc>
          <w:tcPr>
            <w:tcW w:type="dxa" w:w="5669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Prístupy a zmeny stavu podaní sa logujú a uchovávajú 5 rokov.</w:t>
            </w:r>
          </w:p>
        </w:tc>
        <w:tc>
          <w:tcPr>
            <w:tcW w:type="dxa" w:w="1020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MUST</w:t>
            </w:r>
          </w:p>
        </w:tc>
      </w:tr>
    </w:tbl>
    <w:p>
      <w:pPr>
        <w:spacing w:after="40"/>
      </w:pPr>
    </w:p>
    <w:p>
      <w:pPr>
        <w:pStyle w:val="Heading1"/>
      </w:pPr>
      <w:r>
        <w:t>5 Prehľad zmien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CEC"/>
          <w:left w:val="single" w:sz="4" w:space="0" w:color="C9DCEC"/>
          <w:bottom w:val="single" w:sz="4" w:space="0" w:color="C9DCEC"/>
          <w:right w:val="single" w:sz="4" w:space="0" w:color="C9DCEC"/>
          <w:insideH w:val="single" w:sz="4" w:space="0" w:color="C9DCEC"/>
          <w:insideV w:val="single" w:sz="4" w:space="0" w:color="C9DCEC"/>
        </w:tblBorders>
      </w:tblPr>
      <w:tblGrid>
        <w:gridCol w:w="1020"/>
        <w:gridCol w:w="1474"/>
        <w:gridCol w:w="6917"/>
      </w:tblGrid>
      <w:tr>
        <w:tc>
          <w:tcPr>
            <w:tcW w:type="dxa" w:w="1020"/>
            <w:shd w:val="clear" w:color="auto" w:fill="1266A3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9"/>
              </w:rPr>
              <w:t>Verzia</w:t>
            </w:r>
          </w:p>
        </w:tc>
        <w:tc>
          <w:tcPr>
            <w:tcW w:type="dxa" w:w="1474"/>
            <w:shd w:val="clear" w:color="auto" w:fill="1266A3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9"/>
              </w:rPr>
              <w:t>Dátum</w:t>
            </w:r>
          </w:p>
        </w:tc>
        <w:tc>
          <w:tcPr>
            <w:tcW w:type="dxa" w:w="6917"/>
            <w:shd w:val="clear" w:color="auto" w:fill="1266A3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9"/>
              </w:rPr>
              <w:t>Zmena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1.0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20. 7. 2026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prvá verzia</w:t>
            </w:r>
          </w:p>
        </w:tc>
      </w:tr>
      <w:tr>
        <w:tc>
          <w:tcPr>
            <w:tcW w:type="dxa" w:w="1020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1.1</w:t>
            </w:r>
          </w:p>
        </w:tc>
        <w:tc>
          <w:tcPr>
            <w:tcW w:type="dxa" w:w="1474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28. 8. 2026</w:t>
            </w:r>
          </w:p>
        </w:tc>
        <w:tc>
          <w:tcPr>
            <w:tcW w:type="dxa" w:w="6917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doplnené FR-12 a FR-13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1.2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15. 9. 2026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upravené NFR-04 podľa požiadavky právnika mesta</w:t>
            </w:r>
          </w:p>
        </w:tc>
      </w:tr>
      <w:tr>
        <w:tc>
          <w:tcPr>
            <w:tcW w:type="dxa" w:w="1020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1.3</w:t>
            </w:r>
          </w:p>
        </w:tc>
        <w:tc>
          <w:tcPr>
            <w:tcW w:type="dxa" w:w="1474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26. 9. 2026</w:t>
            </w:r>
          </w:p>
        </w:tc>
        <w:tc>
          <w:tcPr>
            <w:tcW w:type="dxa" w:w="6917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podľa stretnutia 24. 9.: FR-04 väčšie prílohy a nové formáty, FR-05 KEP len pri vybraných agendách, FR-08 bez SMS, FR-10 interný cieľ 15 dní, doplnená FR-14 pilotná agenda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7089"/>
        <w:sz w:val="17"/>
      </w:rPr>
      <w:t>Kverion s. r. o. – fiktívna firma. Všetky mená, čísla a údaje sú vymyslené.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7089"/>
        <w:sz w:val="18"/>
      </w:rPr>
      <w:t>Kverion s. r. o. · eSlužby Dolný Brod · Špecifikácia požiadaviek v1.3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0F2B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libri" w:hAnsi="Calibri" w:cs="Calibri"/>
      <w:b/>
      <w:bCs/>
      <w:color w:val="1266A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cs="Calibri"/>
      <w:b/>
      <w:bCs/>
      <w:color w:val="1266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Calibri" w:hAnsi="Calibri" w:cs="Calibri"/>
      <w:b/>
      <w:bCs/>
      <w:color w:val="0F2B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