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266A3"/>
          <w:sz w:val="40"/>
        </w:rPr>
        <w:t>Šablóna use case</w:t>
      </w:r>
    </w:p>
    <w:p>
      <w:pPr>
        <w:spacing w:after="240"/>
      </w:pPr>
      <w:r>
        <w:rPr>
          <w:b w:val="0"/>
          <w:i w:val="0"/>
          <w:color w:val="557089"/>
          <w:sz w:val="22"/>
        </w:rPr>
        <w:t>Kverion s. r. o. · štandard analytickej dokumentácie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CEC"/>
          <w:left w:val="single" w:sz="4" w:space="0" w:color="C9DCEC"/>
          <w:bottom w:val="single" w:sz="4" w:space="0" w:color="C9DCEC"/>
          <w:right w:val="single" w:sz="4" w:space="0" w:color="C9DCEC"/>
          <w:insideH w:val="single" w:sz="4" w:space="0" w:color="C9DCEC"/>
          <w:insideV w:val="single" w:sz="4" w:space="0" w:color="C9DCEC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Pole</w:t>
            </w:r>
          </w:p>
        </w:tc>
        <w:tc>
          <w:tcPr>
            <w:tcW w:type="dxa" w:w="7030"/>
            <w:shd w:val="clear" w:color="auto" w:fill="1266A3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Čo vyplniť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ID a názov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UC-xx Sloveso + predmet, napr. UC-01 Podať žiadosť o parkovaciu kartu</w:t>
            </w:r>
          </w:p>
        </w:tc>
      </w:tr>
      <w:tr>
        <w:tc>
          <w:tcPr>
            <w:tcW w:type="dxa" w:w="238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Aktéri</w:t>
            </w:r>
          </w:p>
        </w:tc>
        <w:tc>
          <w:tcPr>
            <w:tcW w:type="dxa" w:w="703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primárny aktér a ďalší zúčastnení (systémy, roly)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Predpoklady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čo musí platiť pred začatím</w:t>
            </w:r>
          </w:p>
        </w:tc>
      </w:tr>
      <w:tr>
        <w:tc>
          <w:tcPr>
            <w:tcW w:type="dxa" w:w="238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Spúšťač</w:t>
            </w:r>
          </w:p>
        </w:tc>
        <w:tc>
          <w:tcPr>
            <w:tcW w:type="dxa" w:w="703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udalosť, ktorá use case spustí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Hlavný scenár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očíslované kroky aktér → systém</w:t>
            </w:r>
          </w:p>
        </w:tc>
      </w:tr>
      <w:tr>
        <w:tc>
          <w:tcPr>
            <w:tcW w:type="dxa" w:w="238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Alternatívne scenáre</w:t>
            </w:r>
          </w:p>
        </w:tc>
        <w:tc>
          <w:tcPr>
            <w:tcW w:type="dxa" w:w="703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odbočky z hlavného scenára s odkazom na číslo kroku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Výnimky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chybové situácie a reakcia systému</w:t>
            </w:r>
          </w:p>
        </w:tc>
      </w:tr>
      <w:tr>
        <w:tc>
          <w:tcPr>
            <w:tcW w:type="dxa" w:w="238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Výsledok</w:t>
            </w:r>
          </w:p>
        </w:tc>
        <w:tc>
          <w:tcPr>
            <w:tcW w:type="dxa" w:w="703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stav po úspešnom ukončení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Súvisiace požiadavky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ID požiadaviek zo špecifikácie</w:t>
            </w:r>
          </w:p>
        </w:tc>
      </w:tr>
      <w:tr>
        <w:tc>
          <w:tcPr>
            <w:tcW w:type="dxa" w:w="2381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Otvorené otázky</w:t>
            </w:r>
          </w:p>
        </w:tc>
        <w:tc>
          <w:tcPr>
            <w:tcW w:type="dxa" w:w="7030"/>
            <w:shd w:val="clear" w:color="auto" w:fill="F2F8FE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čo treba ešte overiť a s kým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7089"/>
        <w:sz w:val="17"/>
      </w:rPr>
      <w:t>Kverion s. r. o. – fiktívna firma. Všetky mená, čísla a údaje sú vymyslené.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089"/>
        <w:sz w:val="18"/>
      </w:rPr>
      <w:t>Kverion s. r. o. · šablóna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color w:val="1266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color w:val="126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/>
      <w:b/>
      <w:bCs/>
      <w:color w:val="0F2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