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Zadanie zákazky Z-2026-117</w:t>
      </w:r>
    </w:p>
    <w:p>
      <w:r>
        <w:t>Investor: Logistik Západ, s. r. o. (fiktívna firma)</w:t>
      </w:r>
    </w:p>
    <w:p>
      <w:r>
        <w:t>Stavba: Skladová hala SH-2, logistický areál, Trnavský kraj</w:t>
      </w:r>
    </w:p>
    <w:p>
      <w:r>
        <w:t>Predmet zákazky: projekt, dodávka a montáž stabilného hasiaceho zariadenia (sprinklerové SHZ) pre skladovú halu</w:t>
      </w:r>
    </w:p>
    <w:p>
      <w:r>
        <w:rPr>
          <w:b/>
        </w:rPr>
        <w:t>Údaje o hale</w:t>
      </w:r>
    </w:p>
    <w:p>
      <w:pPr>
        <w:pStyle w:val="ListBullet"/>
      </w:pPr>
      <w:r>
        <w:t>pôdorys 80 × 60 m (4 800 m²), jednopodlažná hala</w:t>
      </w:r>
    </w:p>
    <w:p>
      <w:pPr>
        <w:pStyle w:val="ListBullet"/>
      </w:pPr>
      <w:r>
        <w:t>svetlá výška haly 10,5 m</w:t>
      </w:r>
    </w:p>
    <w:p>
      <w:pPr>
        <w:pStyle w:val="ListBullet"/>
      </w:pPr>
      <w:r>
        <w:t>regálové skladovanie, výška skladovania orientačne do 8 m (investor upresní)</w:t>
      </w:r>
    </w:p>
    <w:p>
      <w:pPr>
        <w:pStyle w:val="ListBullet"/>
      </w:pPr>
      <w:r>
        <w:t>druh skladovaného tovaru: „bežný spotrebný tovar, upresníme“</w:t>
      </w:r>
    </w:p>
    <w:p>
      <w:pPr>
        <w:pStyle w:val="ListBullet"/>
      </w:pPr>
      <w:r>
        <w:t>hala je vykurovaná</w:t>
      </w:r>
    </w:p>
    <w:p>
      <w:pPr>
        <w:pStyle w:val="ListBullet"/>
      </w:pPr>
      <w:r>
        <w:t>zdroj vody: napojenie na areálový vodovod, kapacita zatiaľ neoverená</w:t>
      </w:r>
    </w:p>
    <w:p>
      <w:r>
        <w:rPr>
          <w:b/>
        </w:rPr>
        <w:t>Požadovaný rozsah dokumentácie</w:t>
      </w:r>
    </w:p>
    <w:p>
      <w:pPr>
        <w:pStyle w:val="ListBullet"/>
      </w:pPr>
      <w:r>
        <w:t>realizačný projekt SHZ: technická správa, výkresy, výkaz výmer</w:t>
      </w:r>
    </w:p>
    <w:p>
      <w:r>
        <w:rPr>
          <w:b/>
        </w:rPr>
        <w:t>Termíny</w:t>
      </w:r>
    </w:p>
    <w:p>
      <w:pPr>
        <w:pStyle w:val="ListBullet"/>
      </w:pPr>
      <w:r>
        <w:t>odovzdanie projektu: 30. 11. 2026</w:t>
      </w:r>
    </w:p>
    <w:p>
      <w:pPr>
        <w:pStyle w:val="ListBullet"/>
      </w:pPr>
      <w:r>
        <w:t>montáž: 1. štvrťrok 2027</w:t>
      </w:r>
    </w:p>
    <w:p>
      <w:r>
        <w:rPr>
          <w:b/>
        </w:rPr>
        <w:t>Ďalšie informácie</w:t>
      </w:r>
    </w:p>
    <w:p>
      <w:pPr>
        <w:pStyle w:val="ListBullet"/>
      </w:pPr>
      <w:r>
        <w:t>požiadavku poisťovne investor zisťuje</w:t>
      </w:r>
    </w:p>
    <w:p>
      <w:pPr>
        <w:pStyle w:val="ListBullet"/>
      </w:pPr>
      <w:r>
        <w:t>kontaktná osoba investora: Ing. Marek Hudec (fiktívna osoba)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