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Firemný štandard pre zmluvy o dielo a dohody o mlčanlivosti</w:t>
      </w:r>
    </w:p>
    <w:p>
      <w:r>
        <w:rPr>
          <w:b w:val="0"/>
        </w:rPr>
        <w:t>Fiktívny zhotoviteľ Sprinkla, s. r. o. Verzia 3, platná od 1. 3. 2026. Štandard určuje, aké podmienky zhotoviteľ akceptuje bez schválenia konateľom.</w:t>
      </w:r>
    </w:p>
    <w:p>
      <w:pPr>
        <w:pStyle w:val="Heading2"/>
      </w:pPr>
      <w:r>
        <w:t>A. Zmluva o dielo (ZoD)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Kód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Téma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Akceptovateľné znenie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Pri odchýlke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Zmluvná pokuta za omeškanie zhotoviteľa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najviac 0,05 % z ceny diela za deň, spolu najviac 10 % ceny diela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zníženie a strop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Záručná doba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24 mesiacov od odovzdania diela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dlhšiu záruku iba so schválením konateľa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Splatnosť faktúr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najviac 30 dní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30 dní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Obmedzenie náhrady škody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zmluva musí obsahovať strop náhrady škody najviac do výšky ceny diela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doplniť klauzulu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Súčinnosť objednávateľa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termín sa posúva o dobu, počas ktorej objednávateľ neposkytol súčinnosť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doplniť klauzulu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Zádržné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najviac 5 % ceny, uvoľnené po odovzdaní diela bez vád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5 % a uvoľnenie po odovzdaní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Zmeny zmluvy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iba písomným dodatkom podpísaným oboma stranami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doplniť klauzulu</w:t>
            </w:r>
          </w:p>
        </w:tc>
      </w:tr>
    </w:tbl>
    <w:p/>
    <w:p>
      <w:pPr>
        <w:pStyle w:val="Heading2"/>
      </w:pPr>
      <w:r>
        <w:t>B. Dohoda o mlčanlivosti (NDA)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Kód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Téma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Akceptovateľné znenie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Pri odchýlke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Doba trvania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najviac 3 roky od podpisu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3 roky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Vzájomnosť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povinnosti platia pre obe strany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vzájomnú dohodu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Výnimky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nevzťahuje sa na verejne známe informácie a informácie, ktoré strana mala pred podpisom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doplniť výnimky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Zmluvná pokuta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najviac 10 000 € za porušenie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navrhnúť zníženie</w:t>
            </w:r>
          </w:p>
        </w:tc>
      </w:tr>
    </w:tbl>
    <w:p/>
    <w:p>
      <w:r>
        <w:rPr>
          <w:b w:val="0"/>
        </w:rPr>
        <w:t>Konečné rozhodnutie o podpise zmluvy s odchýlkou robí konateľ. Právne posúdenie zabezpečuje externý advokát.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