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Dohoda o mlčanlivosti (návrh)</w:t>
      </w:r>
    </w:p>
    <w:p>
      <w:r>
        <w:rPr>
          <w:b w:val="0"/>
        </w:rPr>
        <w:t>Poskytovateľ informácií: Stavmont Trnava, s. r. o. (fiktívna firma). Príjemca: Sprinkla, s. r. o. (fiktívna firma).</w:t>
      </w:r>
    </w:p>
    <w:p>
      <w:pPr>
        <w:pStyle w:val="Heading3"/>
      </w:pPr>
      <w:r>
        <w:t>1. Predmet</w:t>
      </w:r>
    </w:p>
    <w:p>
      <w:r>
        <w:rPr>
          <w:b w:val="0"/>
        </w:rPr>
        <w:t>Príjemca sa zaväzuje zachovať mlčanlivosť o všetkých informáciách, ktoré mu poskytovateľ odovzdá v súvislosti s projektom logistickej haly.</w:t>
      </w:r>
    </w:p>
    <w:p>
      <w:pPr>
        <w:pStyle w:val="Heading3"/>
      </w:pPr>
      <w:r>
        <w:t>2. Doba trvania</w:t>
      </w:r>
    </w:p>
    <w:p>
      <w:r>
        <w:rPr>
          <w:b w:val="0"/>
        </w:rPr>
        <w:t>Povinnosť mlčanlivosti trvá 5 rokov od podpisu dohody.</w:t>
      </w:r>
    </w:p>
    <w:p>
      <w:pPr>
        <w:pStyle w:val="Heading3"/>
      </w:pPr>
      <w:r>
        <w:t>3. Výnimky</w:t>
      </w:r>
    </w:p>
    <w:p>
      <w:r>
        <w:rPr>
          <w:b w:val="0"/>
        </w:rPr>
        <w:t>Povinnosť sa nevzťahuje na informácie, ktoré sú verejne známe.</w:t>
      </w:r>
    </w:p>
    <w:p>
      <w:pPr>
        <w:pStyle w:val="Heading3"/>
      </w:pPr>
      <w:r>
        <w:t>4. Zmluvná pokuta</w:t>
      </w:r>
    </w:p>
    <w:p>
      <w:r>
        <w:rPr>
          <w:b w:val="0"/>
        </w:rPr>
        <w:t>Za každé porušenie zaplatí príjemca zmluvnú pokutu 50 000 €.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0000"/>
        <w:sz w:val="18"/>
      </w:rPr>
      <w:t>MODELOVÝ PODKLAD – FIKTÍVNE ÚDAJE. Slúži iba na nácvik.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