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266A3"/>
          <w:sz w:val="20"/>
          <w:szCs w:val="20"/>
        </w:rPr>
        <w:t xml:space="preserve">IT Learning – Microsoft Copilot prakticky I.</w:t>
      </w:r>
    </w:p>
    <w:p>
      <w:pPr>
        <w:pStyle w:val="Title"/>
        <w:spacing w:after="120"/>
      </w:pPr>
      <w:r>
        <w:rPr>
          <w:b/>
          <w:bCs/>
          <w:color w:val="1A1A1A"/>
          <w:sz w:val="40"/>
          <w:szCs w:val="40"/>
        </w:rPr>
        <w:t xml:space="preserve">Lektorský podklad k cvičeniam</w:t>
      </w:r>
    </w:p>
    <w:p>
      <w:pPr>
        <w:pBdr>
          <w:bottom w:val="single" w:color="1266A3" w:sz="6" w:space="6"/>
        </w:pBdr>
        <w:spacing w:after="240"/>
      </w:pPr>
      <w:r>
        <w:rPr>
          <w:color w:val="666666"/>
          <w:sz w:val="18"/>
          <w:szCs w:val="18"/>
        </w:rPr>
        <w:t xml:space="preserve">Stránka: airasto.github.io/ITL_COPILOT-I_Cvicenia | 35 úloh v 7 moduloch | fiktívna Poisťovňa Horizont, a. s.</w:t>
      </w:r>
    </w:p>
    <w:p>
      <w:pPr>
        <w:pStyle w:val="Heading1"/>
        <w:spacing w:after="100" w:before="240"/>
      </w:pPr>
      <w:r>
        <w:rPr>
          <w:b/>
          <w:bCs/>
          <w:color w:val="1266A3"/>
          <w:sz w:val="26"/>
          <w:szCs w:val="26"/>
        </w:rPr>
        <w:t xml:space="preserve">Odporúčaný základný výber</w:t>
      </w:r>
    </w:p>
    <w:p>
      <w:pPr>
        <w:spacing w:after="100"/>
      </w:pPr>
      <w:r>
        <w:rPr>
          <w:sz w:val="21"/>
          <w:szCs w:val="21"/>
        </w:rPr>
        <w:t xml:space="preserve">Ak je na cvičenia približne hodina, prejdite týchto 10 úloh. Pokrývajú všetky moduly a majú zabudovanú pointu na diskusiu.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26"/>
      </w:tblGrid>
      <w:tr>
        <w:trPr>
          <w:tblHeader/>
        </w:trPr>
        <w:tc>
          <w:tcPr>
            <w:tcW w:type="dxa" w:w="900"/>
            <w:shd w:fill="1266A3" w:color="auto" w:val="clear"/>
            <w:tcMar>
              <w:top w:type="dxa" w:w="80"/>
              <w:left w:type="dxa" w:w="100"/>
              <w:bottom w:type="dxa" w:w="80"/>
              <w:right w:type="dxa" w:w="100"/>
            </w:tcMar>
          </w:tcPr>
          <w:p>
            <w:r>
              <w:rPr>
                <w:b/>
                <w:bCs/>
                <w:color w:val="FFFFFF"/>
                <w:sz w:val="20"/>
                <w:szCs w:val="20"/>
              </w:rPr>
              <w:t xml:space="preserve">Úloha</w:t>
            </w:r>
          </w:p>
        </w:tc>
        <w:tc>
          <w:tcPr>
            <w:tcW w:type="dxa" w:w="2700"/>
            <w:shd w:fill="1266A3" w:color="auto" w:val="clear"/>
            <w:tcMar>
              <w:top w:type="dxa" w:w="80"/>
              <w:left w:type="dxa" w:w="100"/>
              <w:bottom w:type="dxa" w:w="80"/>
              <w:right w:type="dxa" w:w="100"/>
            </w:tcMar>
          </w:tcPr>
          <w:p>
            <w:r>
              <w:rPr>
                <w:b/>
                <w:bCs/>
                <w:color w:val="FFFFFF"/>
                <w:sz w:val="20"/>
                <w:szCs w:val="20"/>
              </w:rPr>
              <w:t xml:space="preserve">Názov</w:t>
            </w:r>
          </w:p>
        </w:tc>
        <w:tc>
          <w:tcPr>
            <w:tcW w:type="dxa" w:w="5426"/>
            <w:shd w:fill="1266A3" w:color="auto" w:val="clear"/>
            <w:tcMar>
              <w:top w:type="dxa" w:w="80"/>
              <w:left w:type="dxa" w:w="100"/>
              <w:bottom w:type="dxa" w:w="80"/>
              <w:right w:type="dxa" w:w="100"/>
            </w:tcMar>
          </w:tcPr>
          <w:p>
            <w:r>
              <w:rPr>
                <w:b/>
                <w:bCs/>
                <w:color w:val="FFFFFF"/>
                <w:sz w:val="20"/>
                <w:szCs w:val="20"/>
              </w:rPr>
              <w:t xml:space="preserve">Pointa</w:t>
            </w:r>
          </w:p>
        </w:tc>
      </w:tr>
      <w:tr>
        <w:trPr>
          <w:tblHeader w:val="false"/>
        </w:trPr>
        <w:tc>
          <w:tcPr>
            <w:tcW w:type="dxa" w:w="900"/>
            <w:tcMar>
              <w:top w:type="dxa" w:w="80"/>
              <w:left w:type="dxa" w:w="100"/>
              <w:bottom w:type="dxa" w:w="80"/>
              <w:right w:type="dxa" w:w="100"/>
            </w:tcMar>
          </w:tcPr>
          <w:p>
            <w:r>
              <w:rPr>
                <w:b w:val="false"/>
                <w:bCs w:val="false"/>
                <w:sz w:val="20"/>
                <w:szCs w:val="20"/>
              </w:rPr>
              <w:t xml:space="preserve">1.1</w:t>
            </w:r>
          </w:p>
        </w:tc>
        <w:tc>
          <w:tcPr>
            <w:tcW w:type="dxa" w:w="2700"/>
            <w:tcMar>
              <w:top w:type="dxa" w:w="80"/>
              <w:left w:type="dxa" w:w="100"/>
              <w:bottom w:type="dxa" w:w="80"/>
              <w:right w:type="dxa" w:w="100"/>
            </w:tcMar>
          </w:tcPr>
          <w:p>
            <w:r>
              <w:rPr>
                <w:b w:val="false"/>
                <w:bCs w:val="false"/>
                <w:sz w:val="20"/>
                <w:szCs w:val="20"/>
              </w:rPr>
              <w:t xml:space="preserve">Zlý a dobrý prompt</w:t>
            </w:r>
          </w:p>
        </w:tc>
        <w:tc>
          <w:tcPr>
            <w:tcW w:type="dxa" w:w="5426"/>
            <w:tcMar>
              <w:top w:type="dxa" w:w="80"/>
              <w:left w:type="dxa" w:w="100"/>
              <w:bottom w:type="dxa" w:w="80"/>
              <w:right w:type="dxa" w:w="100"/>
            </w:tcMar>
          </w:tcPr>
          <w:p>
            <w:r>
              <w:rPr>
                <w:b w:val="false"/>
                <w:bCs w:val="false"/>
                <w:sz w:val="20"/>
                <w:szCs w:val="20"/>
              </w:rPr>
              <w:t xml:space="preserve">rozdiel medzi krátkym a štruktúrovaným zadaním</w:t>
            </w:r>
          </w:p>
        </w:tc>
      </w:tr>
      <w:tr>
        <w:trPr>
          <w:tblHeader w:val="false"/>
        </w:trPr>
        <w:tc>
          <w:tcPr>
            <w:tcW w:type="dxa" w:w="900"/>
            <w:tcMar>
              <w:top w:type="dxa" w:w="80"/>
              <w:left w:type="dxa" w:w="100"/>
              <w:bottom w:type="dxa" w:w="80"/>
              <w:right w:type="dxa" w:w="100"/>
            </w:tcMar>
          </w:tcPr>
          <w:p>
            <w:r>
              <w:rPr>
                <w:b w:val="false"/>
                <w:bCs w:val="false"/>
                <w:sz w:val="20"/>
                <w:szCs w:val="20"/>
              </w:rPr>
              <w:t xml:space="preserve">1.3</w:t>
            </w:r>
          </w:p>
        </w:tc>
        <w:tc>
          <w:tcPr>
            <w:tcW w:type="dxa" w:w="2700"/>
            <w:tcMar>
              <w:top w:type="dxa" w:w="80"/>
              <w:left w:type="dxa" w:w="100"/>
              <w:bottom w:type="dxa" w:w="80"/>
              <w:right w:type="dxa" w:w="100"/>
            </w:tcMar>
          </w:tcPr>
          <w:p>
            <w:r>
              <w:rPr>
                <w:b w:val="false"/>
                <w:bCs w:val="false"/>
                <w:sz w:val="20"/>
                <w:szCs w:val="20"/>
              </w:rPr>
              <w:t xml:space="preserve">Nech sa Copilot najprv pýta</w:t>
            </w:r>
          </w:p>
        </w:tc>
        <w:tc>
          <w:tcPr>
            <w:tcW w:type="dxa" w:w="5426"/>
            <w:tcMar>
              <w:top w:type="dxa" w:w="80"/>
              <w:left w:type="dxa" w:w="100"/>
              <w:bottom w:type="dxa" w:w="80"/>
              <w:right w:type="dxa" w:w="100"/>
            </w:tcMar>
          </w:tcPr>
          <w:p>
            <w:r>
              <w:rPr>
                <w:b w:val="false"/>
                <w:bCs w:val="false"/>
                <w:sz w:val="20"/>
                <w:szCs w:val="20"/>
              </w:rPr>
              <w:t xml:space="preserve">čo robiť, keď neviem, čo všetko zadať</w:t>
            </w:r>
          </w:p>
        </w:tc>
      </w:tr>
      <w:tr>
        <w:trPr>
          <w:tblHeader w:val="false"/>
        </w:trPr>
        <w:tc>
          <w:tcPr>
            <w:tcW w:type="dxa" w:w="900"/>
            <w:tcMar>
              <w:top w:type="dxa" w:w="80"/>
              <w:left w:type="dxa" w:w="100"/>
              <w:bottom w:type="dxa" w:w="80"/>
              <w:right w:type="dxa" w:w="100"/>
            </w:tcMar>
          </w:tcPr>
          <w:p>
            <w:r>
              <w:rPr>
                <w:b w:val="false"/>
                <w:bCs w:val="false"/>
                <w:sz w:val="20"/>
                <w:szCs w:val="20"/>
              </w:rPr>
              <w:t xml:space="preserve">2.1</w:t>
            </w:r>
          </w:p>
        </w:tc>
        <w:tc>
          <w:tcPr>
            <w:tcW w:type="dxa" w:w="2700"/>
            <w:tcMar>
              <w:top w:type="dxa" w:w="80"/>
              <w:left w:type="dxa" w:w="100"/>
              <w:bottom w:type="dxa" w:w="80"/>
              <w:right w:type="dxa" w:w="100"/>
            </w:tcMar>
          </w:tcPr>
          <w:p>
            <w:r>
              <w:rPr>
                <w:b w:val="false"/>
                <w:bCs w:val="false"/>
                <w:sz w:val="20"/>
                <w:szCs w:val="20"/>
              </w:rPr>
              <w:t xml:space="preserve">Odpoveď na sťažnosť</w:t>
            </w:r>
          </w:p>
        </w:tc>
        <w:tc>
          <w:tcPr>
            <w:tcW w:type="dxa" w:w="5426"/>
            <w:tcMar>
              <w:top w:type="dxa" w:w="80"/>
              <w:left w:type="dxa" w:w="100"/>
              <w:bottom w:type="dxa" w:w="80"/>
              <w:right w:type="dxa" w:w="100"/>
            </w:tcMar>
          </w:tcPr>
          <w:p>
            <w:r>
              <w:rPr>
                <w:b w:val="false"/>
                <w:bCs w:val="false"/>
                <w:sz w:val="20"/>
                <w:szCs w:val="20"/>
              </w:rPr>
              <w:t xml:space="preserve">fakty dodávam ja, Copilot formuluje</w:t>
            </w:r>
          </w:p>
        </w:tc>
      </w:tr>
      <w:tr>
        <w:trPr>
          <w:tblHeader w:val="false"/>
        </w:trPr>
        <w:tc>
          <w:tcPr>
            <w:tcW w:type="dxa" w:w="900"/>
            <w:tcMar>
              <w:top w:type="dxa" w:w="80"/>
              <w:left w:type="dxa" w:w="100"/>
              <w:bottom w:type="dxa" w:w="80"/>
              <w:right w:type="dxa" w:w="100"/>
            </w:tcMar>
          </w:tcPr>
          <w:p>
            <w:r>
              <w:rPr>
                <w:b w:val="false"/>
                <w:bCs w:val="false"/>
                <w:sz w:val="20"/>
                <w:szCs w:val="20"/>
              </w:rPr>
              <w:t xml:space="preserve">2.4</w:t>
            </w:r>
          </w:p>
        </w:tc>
        <w:tc>
          <w:tcPr>
            <w:tcW w:type="dxa" w:w="2700"/>
            <w:tcMar>
              <w:top w:type="dxa" w:w="80"/>
              <w:left w:type="dxa" w:w="100"/>
              <w:bottom w:type="dxa" w:w="80"/>
              <w:right w:type="dxa" w:w="100"/>
            </w:tcMar>
          </w:tcPr>
          <w:p>
            <w:r>
              <w:rPr>
                <w:b w:val="false"/>
                <w:bCs w:val="false"/>
                <w:sz w:val="20"/>
                <w:szCs w:val="20"/>
              </w:rPr>
              <w:t xml:space="preserve">Scenár hovoru</w:t>
            </w:r>
          </w:p>
        </w:tc>
        <w:tc>
          <w:tcPr>
            <w:tcW w:type="dxa" w:w="5426"/>
            <w:tcMar>
              <w:top w:type="dxa" w:w="80"/>
              <w:left w:type="dxa" w:w="100"/>
              <w:bottom w:type="dxa" w:w="80"/>
              <w:right w:type="dxa" w:w="100"/>
            </w:tcMar>
          </w:tcPr>
          <w:p>
            <w:r>
              <w:rPr>
                <w:b w:val="false"/>
                <w:bCs w:val="false"/>
                <w:sz w:val="20"/>
                <w:szCs w:val="20"/>
              </w:rPr>
              <w:t xml:space="preserve">nadväzujúci prompt: Copilot ako tréningový klient</w:t>
            </w:r>
          </w:p>
        </w:tc>
      </w:tr>
      <w:tr>
        <w:trPr>
          <w:tblHeader w:val="false"/>
        </w:trPr>
        <w:tc>
          <w:tcPr>
            <w:tcW w:type="dxa" w:w="900"/>
            <w:tcMar>
              <w:top w:type="dxa" w:w="80"/>
              <w:left w:type="dxa" w:w="100"/>
              <w:bottom w:type="dxa" w:w="80"/>
              <w:right w:type="dxa" w:w="100"/>
            </w:tcMar>
          </w:tcPr>
          <w:p>
            <w:r>
              <w:rPr>
                <w:b w:val="false"/>
                <w:bCs w:val="false"/>
                <w:sz w:val="20"/>
                <w:szCs w:val="20"/>
              </w:rPr>
              <w:t xml:space="preserve">3.2</w:t>
            </w:r>
          </w:p>
        </w:tc>
        <w:tc>
          <w:tcPr>
            <w:tcW w:type="dxa" w:w="2700"/>
            <w:tcMar>
              <w:top w:type="dxa" w:w="80"/>
              <w:left w:type="dxa" w:w="100"/>
              <w:bottom w:type="dxa" w:w="80"/>
              <w:right w:type="dxa" w:w="100"/>
            </w:tcMar>
          </w:tcPr>
          <w:p>
            <w:r>
              <w:rPr>
                <w:b w:val="false"/>
                <w:bCs w:val="false"/>
                <w:sz w:val="20"/>
                <w:szCs w:val="20"/>
              </w:rPr>
              <w:t xml:space="preserve">Overenie tvrdenia klienta</w:t>
            </w:r>
          </w:p>
        </w:tc>
        <w:tc>
          <w:tcPr>
            <w:tcW w:type="dxa" w:w="5426"/>
            <w:tcMar>
              <w:top w:type="dxa" w:w="80"/>
              <w:left w:type="dxa" w:w="100"/>
              <w:bottom w:type="dxa" w:w="80"/>
              <w:right w:type="dxa" w:w="100"/>
            </w:tcMar>
          </w:tcPr>
          <w:p>
            <w:r>
              <w:rPr>
                <w:b w:val="false"/>
                <w:bCs w:val="false"/>
                <w:sz w:val="20"/>
                <w:szCs w:val="20"/>
              </w:rPr>
              <w:t xml:space="preserve">web, zdroje, hranica medzi podkladom a právnym stanoviskom</w:t>
            </w:r>
          </w:p>
        </w:tc>
      </w:tr>
      <w:tr>
        <w:trPr>
          <w:tblHeader w:val="false"/>
        </w:trPr>
        <w:tc>
          <w:tcPr>
            <w:tcW w:type="dxa" w:w="900"/>
            <w:tcMar>
              <w:top w:type="dxa" w:w="80"/>
              <w:left w:type="dxa" w:w="100"/>
              <w:bottom w:type="dxa" w:w="80"/>
              <w:right w:type="dxa" w:w="100"/>
            </w:tcMar>
          </w:tcPr>
          <w:p>
            <w:r>
              <w:rPr>
                <w:b w:val="false"/>
                <w:bCs w:val="false"/>
                <w:sz w:val="20"/>
                <w:szCs w:val="20"/>
              </w:rPr>
              <w:t xml:space="preserve">4.2</w:t>
            </w:r>
          </w:p>
        </w:tc>
        <w:tc>
          <w:tcPr>
            <w:tcW w:type="dxa" w:w="2700"/>
            <w:tcMar>
              <w:top w:type="dxa" w:w="80"/>
              <w:left w:type="dxa" w:w="100"/>
              <w:bottom w:type="dxa" w:w="80"/>
              <w:right w:type="dxa" w:w="100"/>
            </w:tcMar>
          </w:tcPr>
          <w:p>
            <w:r>
              <w:rPr>
                <w:b w:val="false"/>
                <w:bCs w:val="false"/>
                <w:sz w:val="20"/>
                <w:szCs w:val="20"/>
              </w:rPr>
              <w:t xml:space="preserve">Ťahák z podmienok</w:t>
            </w:r>
          </w:p>
        </w:tc>
        <w:tc>
          <w:tcPr>
            <w:tcW w:type="dxa" w:w="5426"/>
            <w:tcMar>
              <w:top w:type="dxa" w:w="80"/>
              <w:left w:type="dxa" w:w="100"/>
              <w:bottom w:type="dxa" w:w="80"/>
              <w:right w:type="dxa" w:w="100"/>
            </w:tcMar>
          </w:tcPr>
          <w:p>
            <w:r>
              <w:rPr>
                <w:b w:val="false"/>
                <w:bCs w:val="false"/>
                <w:sz w:val="20"/>
                <w:szCs w:val="20"/>
              </w:rPr>
              <w:t xml:space="preserve">práca so súborom, čísla článkov na overenie</w:t>
            </w:r>
          </w:p>
        </w:tc>
      </w:tr>
      <w:tr>
        <w:trPr>
          <w:tblHeader w:val="false"/>
        </w:trPr>
        <w:tc>
          <w:tcPr>
            <w:tcW w:type="dxa" w:w="900"/>
            <w:tcMar>
              <w:top w:type="dxa" w:w="80"/>
              <w:left w:type="dxa" w:w="100"/>
              <w:bottom w:type="dxa" w:w="80"/>
              <w:right w:type="dxa" w:w="100"/>
            </w:tcMar>
          </w:tcPr>
          <w:p>
            <w:r>
              <w:rPr>
                <w:b w:val="false"/>
                <w:bCs w:val="false"/>
                <w:sz w:val="20"/>
                <w:szCs w:val="20"/>
              </w:rPr>
              <w:t xml:space="preserve">4.4</w:t>
            </w:r>
          </w:p>
        </w:tc>
        <w:tc>
          <w:tcPr>
            <w:tcW w:type="dxa" w:w="2700"/>
            <w:tcMar>
              <w:top w:type="dxa" w:w="80"/>
              <w:left w:type="dxa" w:w="100"/>
              <w:bottom w:type="dxa" w:w="80"/>
              <w:right w:type="dxa" w:w="100"/>
            </w:tcMar>
          </w:tcPr>
          <w:p>
            <w:r>
              <w:rPr>
                <w:b w:val="false"/>
                <w:bCs w:val="false"/>
                <w:sz w:val="20"/>
                <w:szCs w:val="20"/>
              </w:rPr>
              <w:t xml:space="preserve">Záznam z obhliadky</w:t>
            </w:r>
          </w:p>
        </w:tc>
        <w:tc>
          <w:tcPr>
            <w:tcW w:type="dxa" w:w="5426"/>
            <w:tcMar>
              <w:top w:type="dxa" w:w="80"/>
              <w:left w:type="dxa" w:w="100"/>
              <w:bottom w:type="dxa" w:w="80"/>
              <w:right w:type="dxa" w:w="100"/>
            </w:tcMar>
          </w:tcPr>
          <w:p>
            <w:r>
              <w:rPr>
                <w:b w:val="false"/>
                <w:bCs w:val="false"/>
                <w:sz w:val="20"/>
                <w:szCs w:val="20"/>
              </w:rPr>
              <w:t xml:space="preserve">odhalí Copilot rozpor v poznámkach?</w:t>
            </w:r>
          </w:p>
        </w:tc>
      </w:tr>
      <w:tr>
        <w:trPr>
          <w:tblHeader w:val="false"/>
        </w:trPr>
        <w:tc>
          <w:tcPr>
            <w:tcW w:type="dxa" w:w="900"/>
            <w:tcMar>
              <w:top w:type="dxa" w:w="80"/>
              <w:left w:type="dxa" w:w="100"/>
              <w:bottom w:type="dxa" w:w="80"/>
              <w:right w:type="dxa" w:w="100"/>
            </w:tcMar>
          </w:tcPr>
          <w:p>
            <w:r>
              <w:rPr>
                <w:b w:val="false"/>
                <w:bCs w:val="false"/>
                <w:sz w:val="20"/>
                <w:szCs w:val="20"/>
              </w:rPr>
              <w:t xml:space="preserve">5.2</w:t>
            </w:r>
          </w:p>
        </w:tc>
        <w:tc>
          <w:tcPr>
            <w:tcW w:type="dxa" w:w="2700"/>
            <w:tcMar>
              <w:top w:type="dxa" w:w="80"/>
              <w:left w:type="dxa" w:w="100"/>
              <w:bottom w:type="dxa" w:w="80"/>
              <w:right w:type="dxa" w:w="100"/>
            </w:tcMar>
          </w:tcPr>
          <w:p>
            <w:r>
              <w:rPr>
                <w:b w:val="false"/>
                <w:bCs w:val="false"/>
                <w:sz w:val="20"/>
                <w:szCs w:val="20"/>
              </w:rPr>
              <w:t xml:space="preserve">Snímky z textu</w:t>
            </w:r>
          </w:p>
        </w:tc>
        <w:tc>
          <w:tcPr>
            <w:tcW w:type="dxa" w:w="5426"/>
            <w:tcMar>
              <w:top w:type="dxa" w:w="80"/>
              <w:left w:type="dxa" w:w="100"/>
              <w:bottom w:type="dxa" w:w="80"/>
              <w:right w:type="dxa" w:w="100"/>
            </w:tcMar>
          </w:tcPr>
          <w:p>
            <w:r>
              <w:rPr>
                <w:b w:val="false"/>
                <w:bCs w:val="false"/>
                <w:sz w:val="20"/>
                <w:szCs w:val="20"/>
              </w:rPr>
              <w:t xml:space="preserve">čo patrí na plátno a čo do poznámok</w:t>
            </w:r>
          </w:p>
        </w:tc>
      </w:tr>
      <w:tr>
        <w:trPr>
          <w:tblHeader w:val="false"/>
        </w:trPr>
        <w:tc>
          <w:tcPr>
            <w:tcW w:type="dxa" w:w="900"/>
            <w:tcMar>
              <w:top w:type="dxa" w:w="80"/>
              <w:left w:type="dxa" w:w="100"/>
              <w:bottom w:type="dxa" w:w="80"/>
              <w:right w:type="dxa" w:w="100"/>
            </w:tcMar>
          </w:tcPr>
          <w:p>
            <w:r>
              <w:rPr>
                <w:b w:val="false"/>
                <w:bCs w:val="false"/>
                <w:sz w:val="20"/>
                <w:szCs w:val="20"/>
              </w:rPr>
              <w:t xml:space="preserve">6.3</w:t>
            </w:r>
          </w:p>
        </w:tc>
        <w:tc>
          <w:tcPr>
            <w:tcW w:type="dxa" w:w="2700"/>
            <w:tcMar>
              <w:top w:type="dxa" w:w="80"/>
              <w:left w:type="dxa" w:w="100"/>
              <w:bottom w:type="dxa" w:w="80"/>
              <w:right w:type="dxa" w:w="100"/>
            </w:tcMar>
          </w:tcPr>
          <w:p>
            <w:r>
              <w:rPr>
                <w:b w:val="false"/>
                <w:bCs w:val="false"/>
                <w:sz w:val="20"/>
                <w:szCs w:val="20"/>
              </w:rPr>
              <w:t xml:space="preserve">Analýza tabuľky</w:t>
            </w:r>
          </w:p>
        </w:tc>
        <w:tc>
          <w:tcPr>
            <w:tcW w:type="dxa" w:w="5426"/>
            <w:tcMar>
              <w:top w:type="dxa" w:w="80"/>
              <w:left w:type="dxa" w:w="100"/>
              <w:bottom w:type="dxa" w:w="80"/>
              <w:right w:type="dxa" w:w="100"/>
            </w:tcMar>
          </w:tcPr>
          <w:p>
            <w:r>
              <w:rPr>
                <w:b w:val="false"/>
                <w:bCs w:val="false"/>
                <w:sz w:val="20"/>
                <w:szCs w:val="20"/>
              </w:rPr>
              <w:t xml:space="preserve">AI sa pri počítaní mýli, výsledky treba overiť</w:t>
            </w:r>
          </w:p>
        </w:tc>
      </w:tr>
      <w:tr>
        <w:trPr>
          <w:tblHeader w:val="false"/>
        </w:trPr>
        <w:tc>
          <w:tcPr>
            <w:tcW w:type="dxa" w:w="900"/>
            <w:tcMar>
              <w:top w:type="dxa" w:w="80"/>
              <w:left w:type="dxa" w:w="100"/>
              <w:bottom w:type="dxa" w:w="80"/>
              <w:right w:type="dxa" w:w="100"/>
            </w:tcMar>
          </w:tcPr>
          <w:p>
            <w:r>
              <w:rPr>
                <w:b w:val="false"/>
                <w:bCs w:val="false"/>
                <w:sz w:val="20"/>
                <w:szCs w:val="20"/>
              </w:rPr>
              <w:t xml:space="preserve">7.1</w:t>
            </w:r>
          </w:p>
        </w:tc>
        <w:tc>
          <w:tcPr>
            <w:tcW w:type="dxa" w:w="2700"/>
            <w:tcMar>
              <w:top w:type="dxa" w:w="80"/>
              <w:left w:type="dxa" w:w="100"/>
              <w:bottom w:type="dxa" w:w="80"/>
              <w:right w:type="dxa" w:w="100"/>
            </w:tcMar>
          </w:tcPr>
          <w:p>
            <w:r>
              <w:rPr>
                <w:b w:val="false"/>
                <w:bCs w:val="false"/>
                <w:sz w:val="20"/>
                <w:szCs w:val="20"/>
              </w:rPr>
              <w:t xml:space="preserve">Zhrnutie vlákna</w:t>
            </w:r>
          </w:p>
        </w:tc>
        <w:tc>
          <w:tcPr>
            <w:tcW w:type="dxa" w:w="5426"/>
            <w:tcMar>
              <w:top w:type="dxa" w:w="80"/>
              <w:left w:type="dxa" w:w="100"/>
              <w:bottom w:type="dxa" w:w="80"/>
              <w:right w:type="dxa" w:w="100"/>
            </w:tcMar>
          </w:tcPr>
          <w:p>
            <w:r>
              <w:rPr>
                <w:b w:val="false"/>
                <w:bCs w:val="false"/>
                <w:sz w:val="20"/>
                <w:szCs w:val="20"/>
              </w:rPr>
              <w:t xml:space="preserve">dohody, otvorené body, môj ďalší krok</w:t>
            </w:r>
          </w:p>
        </w:tc>
      </w:tr>
    </w:tbl>
    <w:p>
      <w:pPr>
        <w:spacing w:after="80"/>
      </w:pPr>
    </w:p>
    <w:p>
      <w:pPr>
        <w:pStyle w:val="Heading1"/>
        <w:spacing w:after="100" w:before="240"/>
      </w:pPr>
      <w:r>
        <w:rPr>
          <w:b/>
          <w:bCs/>
          <w:color w:val="1266A3"/>
          <w:sz w:val="26"/>
          <w:szCs w:val="26"/>
        </w:rPr>
        <w:t xml:space="preserve">Podklady a úlohy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826"/>
      </w:tblGrid>
      <w:tr>
        <w:trPr>
          <w:tblHeader/>
        </w:trPr>
        <w:tc>
          <w:tcPr>
            <w:tcW w:type="dxa" w:w="2900"/>
            <w:shd w:fill="1266A3" w:color="auto" w:val="clear"/>
            <w:tcMar>
              <w:top w:type="dxa" w:w="80"/>
              <w:left w:type="dxa" w:w="100"/>
              <w:bottom w:type="dxa" w:w="80"/>
              <w:right w:type="dxa" w:w="100"/>
            </w:tcMar>
          </w:tcPr>
          <w:p>
            <w:r>
              <w:rPr>
                <w:b/>
                <w:bCs/>
                <w:color w:val="FFFFFF"/>
                <w:sz w:val="20"/>
                <w:szCs w:val="20"/>
              </w:rPr>
              <w:t xml:space="preserve">Súbor</w:t>
            </w:r>
          </w:p>
        </w:tc>
        <w:tc>
          <w:tcPr>
            <w:tcW w:type="dxa" w:w="1300"/>
            <w:shd w:fill="1266A3" w:color="auto" w:val="clear"/>
            <w:tcMar>
              <w:top w:type="dxa" w:w="80"/>
              <w:left w:type="dxa" w:w="100"/>
              <w:bottom w:type="dxa" w:w="80"/>
              <w:right w:type="dxa" w:w="100"/>
            </w:tcMar>
          </w:tcPr>
          <w:p>
            <w:r>
              <w:rPr>
                <w:b/>
                <w:bCs/>
                <w:color w:val="FFFFFF"/>
                <w:sz w:val="20"/>
                <w:szCs w:val="20"/>
              </w:rPr>
              <w:t xml:space="preserve">Úlohy</w:t>
            </w:r>
          </w:p>
        </w:tc>
        <w:tc>
          <w:tcPr>
            <w:tcW w:type="dxa" w:w="4826"/>
            <w:shd w:fill="1266A3" w:color="auto" w:val="clear"/>
            <w:tcMar>
              <w:top w:type="dxa" w:w="80"/>
              <w:left w:type="dxa" w:w="100"/>
              <w:bottom w:type="dxa" w:w="80"/>
              <w:right w:type="dxa" w:w="100"/>
            </w:tcMar>
          </w:tcPr>
          <w:p>
            <w:r>
              <w:rPr>
                <w:b/>
                <w:bCs/>
                <w:color w:val="FFFFFF"/>
                <w:sz w:val="20"/>
                <w:szCs w:val="20"/>
              </w:rPr>
              <w:t xml:space="preserve">Poznámka</w:t>
            </w:r>
          </w:p>
        </w:tc>
      </w:tr>
      <w:tr>
        <w:trPr>
          <w:tblHeader w:val="false"/>
        </w:trPr>
        <w:tc>
          <w:tcPr>
            <w:tcW w:type="dxa" w:w="2900"/>
            <w:tcMar>
              <w:top w:type="dxa" w:w="80"/>
              <w:left w:type="dxa" w:w="100"/>
              <w:bottom w:type="dxa" w:w="80"/>
              <w:right w:type="dxa" w:w="100"/>
            </w:tcMar>
          </w:tcPr>
          <w:p>
            <w:r>
              <w:rPr>
                <w:b w:val="false"/>
                <w:bCs w:val="false"/>
                <w:sz w:val="20"/>
                <w:szCs w:val="20"/>
              </w:rPr>
              <w:t xml:space="preserve">01 Poistné podmienky (PDF)</w:t>
            </w:r>
          </w:p>
        </w:tc>
        <w:tc>
          <w:tcPr>
            <w:tcW w:type="dxa" w:w="1300"/>
            <w:tcMar>
              <w:top w:type="dxa" w:w="80"/>
              <w:left w:type="dxa" w:w="100"/>
              <w:bottom w:type="dxa" w:w="80"/>
              <w:right w:type="dxa" w:w="100"/>
            </w:tcMar>
          </w:tcPr>
          <w:p>
            <w:r>
              <w:rPr>
                <w:b w:val="false"/>
                <w:bCs w:val="false"/>
                <w:sz w:val="20"/>
                <w:szCs w:val="20"/>
              </w:rPr>
              <w:t xml:space="preserve">4.2, 2.2</w:t>
            </w:r>
          </w:p>
        </w:tc>
        <w:tc>
          <w:tcPr>
            <w:tcW w:type="dxa" w:w="4826"/>
            <w:tcMar>
              <w:top w:type="dxa" w:w="80"/>
              <w:left w:type="dxa" w:w="100"/>
              <w:bottom w:type="dxa" w:w="80"/>
              <w:right w:type="dxa" w:w="100"/>
            </w:tcMar>
          </w:tcPr>
          <w:p>
            <w:r>
              <w:rPr>
                <w:b w:val="false"/>
                <w:bCs w:val="false"/>
                <w:sz w:val="20"/>
                <w:szCs w:val="20"/>
              </w:rPr>
              <w:t xml:space="preserve">fiktívne VPP, 10 článkov; odsek z 2.2 je článok 8, splatnosť plnenia článok 7.3</w:t>
            </w:r>
          </w:p>
        </w:tc>
      </w:tr>
      <w:tr>
        <w:trPr>
          <w:tblHeader w:val="false"/>
        </w:trPr>
        <w:tc>
          <w:tcPr>
            <w:tcW w:type="dxa" w:w="2900"/>
            <w:tcMar>
              <w:top w:type="dxa" w:w="80"/>
              <w:left w:type="dxa" w:w="100"/>
              <w:bottom w:type="dxa" w:w="80"/>
              <w:right w:type="dxa" w:w="100"/>
            </w:tcMar>
          </w:tcPr>
          <w:p>
            <w:r>
              <w:rPr>
                <w:b w:val="false"/>
                <w:bCs w:val="false"/>
                <w:sz w:val="20"/>
                <w:szCs w:val="20"/>
              </w:rPr>
              <w:t xml:space="preserve">02 Produktový list Asistencia Plus</w:t>
            </w:r>
          </w:p>
        </w:tc>
        <w:tc>
          <w:tcPr>
            <w:tcW w:type="dxa" w:w="1300"/>
            <w:tcMar>
              <w:top w:type="dxa" w:w="80"/>
              <w:left w:type="dxa" w:w="100"/>
              <w:bottom w:type="dxa" w:w="80"/>
              <w:right w:type="dxa" w:w="100"/>
            </w:tcMar>
          </w:tcPr>
          <w:p>
            <w:r>
              <w:rPr>
                <w:b w:val="false"/>
                <w:bCs w:val="false"/>
                <w:sz w:val="20"/>
                <w:szCs w:val="20"/>
              </w:rPr>
              <w:t xml:space="preserve">5.1, 7.2</w:t>
            </w:r>
          </w:p>
        </w:tc>
        <w:tc>
          <w:tcPr>
            <w:tcW w:type="dxa" w:w="4826"/>
            <w:tcMar>
              <w:top w:type="dxa" w:w="80"/>
              <w:left w:type="dxa" w:w="100"/>
              <w:bottom w:type="dxa" w:w="80"/>
              <w:right w:type="dxa" w:w="100"/>
            </w:tcMar>
          </w:tcPr>
          <w:p>
            <w:r>
              <w:rPr>
                <w:b w:val="false"/>
                <w:bCs w:val="false"/>
                <w:sz w:val="20"/>
                <w:szCs w:val="20"/>
              </w:rPr>
              <w:t xml:space="preserve">limity služieb; náhradné vozidlo najviac 5 dní</w:t>
            </w:r>
          </w:p>
        </w:tc>
      </w:tr>
      <w:tr>
        <w:trPr>
          <w:tblHeader w:val="false"/>
        </w:trPr>
        <w:tc>
          <w:tcPr>
            <w:tcW w:type="dxa" w:w="2900"/>
            <w:tcMar>
              <w:top w:type="dxa" w:w="80"/>
              <w:left w:type="dxa" w:w="100"/>
              <w:bottom w:type="dxa" w:w="80"/>
              <w:right w:type="dxa" w:w="100"/>
            </w:tcMar>
          </w:tcPr>
          <w:p>
            <w:r>
              <w:rPr>
                <w:b w:val="false"/>
                <w:bCs w:val="false"/>
                <w:sz w:val="20"/>
                <w:szCs w:val="20"/>
              </w:rPr>
              <w:t xml:space="preserve">03 Interná správa na opravu</w:t>
            </w:r>
          </w:p>
        </w:tc>
        <w:tc>
          <w:tcPr>
            <w:tcW w:type="dxa" w:w="1300"/>
            <w:tcMar>
              <w:top w:type="dxa" w:w="80"/>
              <w:left w:type="dxa" w:w="100"/>
              <w:bottom w:type="dxa" w:w="80"/>
              <w:right w:type="dxa" w:w="100"/>
            </w:tcMar>
          </w:tcPr>
          <w:p>
            <w:r>
              <w:rPr>
                <w:b w:val="false"/>
                <w:bCs w:val="false"/>
                <w:sz w:val="20"/>
                <w:szCs w:val="20"/>
              </w:rPr>
              <w:t xml:space="preserve">4.1</w:t>
            </w:r>
          </w:p>
        </w:tc>
        <w:tc>
          <w:tcPr>
            <w:tcW w:type="dxa" w:w="4826"/>
            <w:tcMar>
              <w:top w:type="dxa" w:w="80"/>
              <w:left w:type="dxa" w:w="100"/>
              <w:bottom w:type="dxa" w:w="80"/>
              <w:right w:type="dxa" w:w="100"/>
            </w:tcMar>
          </w:tcPr>
          <w:p>
            <w:r>
              <w:rPr>
                <w:b w:val="false"/>
                <w:bCs w:val="false"/>
                <w:sz w:val="20"/>
                <w:szCs w:val="20"/>
              </w:rPr>
              <w:t xml:space="preserve">bez diakritiky, preklepy a čechizmy: jedná sa, behom, nakoľko, nieje</w:t>
            </w:r>
          </w:p>
        </w:tc>
      </w:tr>
      <w:tr>
        <w:trPr>
          <w:tblHeader w:val="false"/>
        </w:trPr>
        <w:tc>
          <w:tcPr>
            <w:tcW w:type="dxa" w:w="2900"/>
            <w:tcMar>
              <w:top w:type="dxa" w:w="80"/>
              <w:left w:type="dxa" w:w="100"/>
              <w:bottom w:type="dxa" w:w="80"/>
              <w:right w:type="dxa" w:w="100"/>
            </w:tcMar>
          </w:tcPr>
          <w:p>
            <w:r>
              <w:rPr>
                <w:b w:val="false"/>
                <w:bCs w:val="false"/>
                <w:sz w:val="20"/>
                <w:szCs w:val="20"/>
              </w:rPr>
              <w:t xml:space="preserve">04 E-mailové vlákno PU-4471</w:t>
            </w:r>
          </w:p>
        </w:tc>
        <w:tc>
          <w:tcPr>
            <w:tcW w:type="dxa" w:w="1300"/>
            <w:tcMar>
              <w:top w:type="dxa" w:w="80"/>
              <w:left w:type="dxa" w:w="100"/>
              <w:bottom w:type="dxa" w:w="80"/>
              <w:right w:type="dxa" w:w="100"/>
            </w:tcMar>
          </w:tcPr>
          <w:p>
            <w:r>
              <w:rPr>
                <w:b w:val="false"/>
                <w:bCs w:val="false"/>
                <w:sz w:val="20"/>
                <w:szCs w:val="20"/>
              </w:rPr>
              <w:t xml:space="preserve">7.1, 7.2</w:t>
            </w:r>
          </w:p>
        </w:tc>
        <w:tc>
          <w:tcPr>
            <w:tcW w:type="dxa" w:w="4826"/>
            <w:tcMar>
              <w:top w:type="dxa" w:w="80"/>
              <w:left w:type="dxa" w:w="100"/>
              <w:bottom w:type="dxa" w:w="80"/>
              <w:right w:type="dxa" w:w="100"/>
            </w:tcMar>
          </w:tcPr>
          <w:p>
            <w:r>
              <w:rPr>
                <w:b w:val="false"/>
                <w:bCs w:val="false"/>
                <w:sz w:val="20"/>
                <w:szCs w:val="20"/>
              </w:rPr>
              <w:t xml:space="preserve">7 správ; rozpor vo výfuku, doplnený podbeh, nespokojný klient</w:t>
            </w:r>
          </w:p>
        </w:tc>
      </w:tr>
      <w:tr>
        <w:trPr>
          <w:tblHeader w:val="false"/>
        </w:trPr>
        <w:tc>
          <w:tcPr>
            <w:tcW w:type="dxa" w:w="2900"/>
            <w:tcMar>
              <w:top w:type="dxa" w:w="80"/>
              <w:left w:type="dxa" w:w="100"/>
              <w:bottom w:type="dxa" w:w="80"/>
              <w:right w:type="dxa" w:w="100"/>
            </w:tcMar>
          </w:tcPr>
          <w:p>
            <w:r>
              <w:rPr>
                <w:b w:val="false"/>
                <w:bCs w:val="false"/>
                <w:sz w:val="20"/>
                <w:szCs w:val="20"/>
              </w:rPr>
              <w:t xml:space="preserve">05 Excel škody a zmluvy</w:t>
            </w:r>
          </w:p>
        </w:tc>
        <w:tc>
          <w:tcPr>
            <w:tcW w:type="dxa" w:w="1300"/>
            <w:tcMar>
              <w:top w:type="dxa" w:w="80"/>
              <w:left w:type="dxa" w:w="100"/>
              <w:bottom w:type="dxa" w:w="80"/>
              <w:right w:type="dxa" w:w="100"/>
            </w:tcMar>
          </w:tcPr>
          <w:p>
            <w:r>
              <w:rPr>
                <w:b w:val="false"/>
                <w:bCs w:val="false"/>
                <w:sz w:val="20"/>
                <w:szCs w:val="20"/>
              </w:rPr>
              <w:t xml:space="preserve">6.1 – 6.5</w:t>
            </w:r>
          </w:p>
        </w:tc>
        <w:tc>
          <w:tcPr>
            <w:tcW w:type="dxa" w:w="4826"/>
            <w:tcMar>
              <w:top w:type="dxa" w:w="80"/>
              <w:left w:type="dxa" w:w="100"/>
              <w:bottom w:type="dxa" w:w="80"/>
              <w:right w:type="dxa" w:w="100"/>
            </w:tcMar>
          </w:tcPr>
          <w:p>
            <w:r>
              <w:rPr>
                <w:b w:val="false"/>
                <w:bCs w:val="false"/>
                <w:sz w:val="20"/>
                <w:szCs w:val="20"/>
              </w:rPr>
              <w:t xml:space="preserve">hárky Škody, Zmluvy, Urgencie, Mená</w:t>
            </w:r>
          </w:p>
        </w:tc>
      </w:tr>
    </w:tbl>
    <w:p>
      <w:pPr>
        <w:spacing w:after="80"/>
      </w:pPr>
    </w:p>
    <w:p>
      <w:pPr>
        <w:pStyle w:val="Heading1"/>
        <w:spacing w:after="100" w:before="240"/>
      </w:pPr>
      <w:r>
        <w:rPr>
          <w:b/>
          <w:bCs/>
          <w:color w:val="1266A3"/>
          <w:sz w:val="26"/>
          <w:szCs w:val="26"/>
        </w:rPr>
        <w:t xml:space="preserve">Zámerné zistenia a očakávané výsledky</w:t>
      </w:r>
    </w:p>
    <w:p>
      <w:pPr>
        <w:pStyle w:val="Heading2"/>
        <w:spacing w:after="60" w:before="160"/>
      </w:pPr>
      <w:r>
        <w:rPr>
          <w:b/>
          <w:bCs/>
          <w:sz w:val="22"/>
          <w:szCs w:val="22"/>
        </w:rPr>
        <w:t xml:space="preserve">3.2 Overenie tvrdenia klienta</w:t>
      </w:r>
    </w:p>
    <w:p>
      <w:pPr>
        <w:spacing w:after="100"/>
      </w:pPr>
      <w:r>
        <w:rPr>
          <w:sz w:val="21"/>
          <w:szCs w:val="21"/>
        </w:rPr>
        <w:t xml:space="preserve">Lehota 15 dní neplynie od nahlásenia nehody. Plnenie je splatné do 15 dní od skončenia šetrenia (Občiansky zákonník, § 797 – pred kurzom overte aktuálne znenie). Zákonnú „pokutu“ klient nemá. Fiktívne podmienky to v článku 7.3 kopírujú. Sledujte, či Copilot uvedie predpis a odkaz.</w:t>
      </w:r>
    </w:p>
    <w:p>
      <w:pPr>
        <w:pStyle w:val="Heading2"/>
        <w:spacing w:after="60" w:before="160"/>
      </w:pPr>
      <w:r>
        <w:rPr>
          <w:b/>
          <w:bCs/>
          <w:sz w:val="22"/>
          <w:szCs w:val="22"/>
        </w:rPr>
        <w:t xml:space="preserve">4.4 Záznam z obhliadky</w:t>
      </w:r>
    </w:p>
    <w:p>
      <w:pPr>
        <w:spacing w:after="100"/>
      </w:pPr>
      <w:r>
        <w:rPr>
          <w:sz w:val="21"/>
          <w:szCs w:val="21"/>
        </w:rPr>
        <w:t xml:space="preserve">Klient tvrdí, že narazil pri cúvaní, poškodená je však predná časť. Ak Copilot rozpor neuvedie medzi otvorenými otázkami, je to dobrý moment na diskusiu: AI zhrnie, čo dostane, kritické čítanie zostáva na človeku.</w:t>
      </w:r>
    </w:p>
    <w:p>
      <w:pPr>
        <w:pStyle w:val="Heading2"/>
        <w:spacing w:after="60" w:before="160"/>
      </w:pPr>
      <w:r>
        <w:rPr>
          <w:b/>
          <w:bCs/>
          <w:sz w:val="22"/>
          <w:szCs w:val="22"/>
        </w:rPr>
        <w:t xml:space="preserve">6.3 Tabuľka v prompte (12 udalostí)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266A3" w:color="auto" w:val="clear"/>
            <w:tcMar>
              <w:top w:type="dxa" w:w="80"/>
              <w:left w:type="dxa" w:w="100"/>
              <w:bottom w:type="dxa" w:w="80"/>
              <w:right w:type="dxa" w:w="100"/>
            </w:tcMar>
          </w:tcPr>
          <w:p>
            <w:r>
              <w:rPr>
                <w:b/>
                <w:bCs/>
                <w:color w:val="FFFFFF"/>
                <w:sz w:val="20"/>
                <w:szCs w:val="20"/>
              </w:rPr>
              <w:t xml:space="preserve">Ukazovateľ</w:t>
            </w:r>
          </w:p>
        </w:tc>
        <w:tc>
          <w:tcPr>
            <w:tcW w:type="dxa" w:w="6026"/>
            <w:shd w:fill="1266A3" w:color="auto" w:val="clear"/>
            <w:tcMar>
              <w:top w:type="dxa" w:w="80"/>
              <w:left w:type="dxa" w:w="100"/>
              <w:bottom w:type="dxa" w:w="80"/>
              <w:right w:type="dxa" w:w="100"/>
            </w:tcMar>
          </w:tcPr>
          <w:p>
            <w:r>
              <w:rPr>
                <w:b/>
                <w:bCs/>
                <w:color w:val="FFFFFF"/>
                <w:sz w:val="20"/>
                <w:szCs w:val="20"/>
              </w:rPr>
              <w:t xml:space="preserve">Správna hodnota</w:t>
            </w:r>
          </w:p>
        </w:tc>
      </w:tr>
      <w:tr>
        <w:trPr>
          <w:tblHeader w:val="false"/>
        </w:trPr>
        <w:tc>
          <w:tcPr>
            <w:tcW w:type="dxa" w:w="3000"/>
            <w:tcMar>
              <w:top w:type="dxa" w:w="80"/>
              <w:left w:type="dxa" w:w="100"/>
              <w:bottom w:type="dxa" w:w="80"/>
              <w:right w:type="dxa" w:w="100"/>
            </w:tcMar>
          </w:tcPr>
          <w:p>
            <w:r>
              <w:rPr>
                <w:b w:val="false"/>
                <w:bCs w:val="false"/>
                <w:sz w:val="20"/>
                <w:szCs w:val="20"/>
              </w:rPr>
              <w:t xml:space="preserve">Priemer dní podľa typu</w:t>
            </w:r>
          </w:p>
        </w:tc>
        <w:tc>
          <w:tcPr>
            <w:tcW w:type="dxa" w:w="6026"/>
            <w:tcMar>
              <w:top w:type="dxa" w:w="80"/>
              <w:left w:type="dxa" w:w="100"/>
              <w:bottom w:type="dxa" w:w="80"/>
              <w:right w:type="dxa" w:w="100"/>
            </w:tcMar>
          </w:tcPr>
          <w:p>
            <w:r>
              <w:rPr>
                <w:b w:val="false"/>
                <w:bCs w:val="false"/>
                <w:sz w:val="20"/>
                <w:szCs w:val="20"/>
              </w:rPr>
              <w:t xml:space="preserve">Sklo 4,5; Iné 11; Parkovanie 21; Zver 23; Krádež 63</w:t>
            </w:r>
          </w:p>
        </w:tc>
      </w:tr>
      <w:tr>
        <w:trPr>
          <w:tblHeader w:val="false"/>
        </w:trPr>
        <w:tc>
          <w:tcPr>
            <w:tcW w:type="dxa" w:w="3000"/>
            <w:tcMar>
              <w:top w:type="dxa" w:w="80"/>
              <w:left w:type="dxa" w:w="100"/>
              <w:bottom w:type="dxa" w:w="80"/>
              <w:right w:type="dxa" w:w="100"/>
            </w:tcMar>
          </w:tcPr>
          <w:p>
            <w:r>
              <w:rPr>
                <w:b w:val="false"/>
                <w:bCs w:val="false"/>
                <w:sz w:val="20"/>
                <w:szCs w:val="20"/>
              </w:rPr>
              <w:t xml:space="preserve">Priemer dní podľa kanála</w:t>
            </w:r>
          </w:p>
        </w:tc>
        <w:tc>
          <w:tcPr>
            <w:tcW w:type="dxa" w:w="6026"/>
            <w:tcMar>
              <w:top w:type="dxa" w:w="80"/>
              <w:left w:type="dxa" w:w="100"/>
              <w:bottom w:type="dxa" w:w="80"/>
              <w:right w:type="dxa" w:w="100"/>
            </w:tcMar>
          </w:tcPr>
          <w:p>
            <w:r>
              <w:rPr>
                <w:b w:val="false"/>
                <w:bCs w:val="false"/>
                <w:sz w:val="20"/>
                <w:szCs w:val="20"/>
              </w:rPr>
              <w:t xml:space="preserve">Aplikácia 6,25; Web 24; Telefón 25</w:t>
            </w:r>
          </w:p>
        </w:tc>
      </w:tr>
      <w:tr>
        <w:trPr>
          <w:tblHeader w:val="false"/>
        </w:trPr>
        <w:tc>
          <w:tcPr>
            <w:tcW w:type="dxa" w:w="3000"/>
            <w:tcMar>
              <w:top w:type="dxa" w:w="80"/>
              <w:left w:type="dxa" w:w="100"/>
              <w:bottom w:type="dxa" w:w="80"/>
              <w:right w:type="dxa" w:w="100"/>
            </w:tcMar>
          </w:tcPr>
          <w:p>
            <w:r>
              <w:rPr>
                <w:b w:val="false"/>
                <w:bCs w:val="false"/>
                <w:sz w:val="20"/>
                <w:szCs w:val="20"/>
              </w:rPr>
              <w:t xml:space="preserve">Odchýlky</w:t>
            </w:r>
          </w:p>
        </w:tc>
        <w:tc>
          <w:tcPr>
            <w:tcW w:type="dxa" w:w="6026"/>
            <w:tcMar>
              <w:top w:type="dxa" w:w="80"/>
              <w:left w:type="dxa" w:w="100"/>
              <w:bottom w:type="dxa" w:w="80"/>
              <w:right w:type="dxa" w:w="100"/>
            </w:tcMar>
          </w:tcPr>
          <w:p>
            <w:r>
              <w:rPr>
                <w:b w:val="false"/>
                <w:bCs w:val="false"/>
                <w:sz w:val="20"/>
                <w:szCs w:val="20"/>
              </w:rPr>
              <w:t xml:space="preserve">PU05 krádež 63 dní; PU09 parkovanie 41 dní (ostatné parkovania 9 – 18 dní)</w:t>
            </w:r>
          </w:p>
        </w:tc>
      </w:tr>
    </w:tbl>
    <w:p>
      <w:pPr>
        <w:spacing w:after="80"/>
      </w:pPr>
    </w:p>
    <w:p>
      <w:pPr>
        <w:pStyle w:val="Heading2"/>
        <w:spacing w:after="60" w:before="160"/>
      </w:pPr>
      <w:r>
        <w:rPr>
          <w:b/>
          <w:bCs/>
          <w:sz w:val="22"/>
          <w:szCs w:val="22"/>
        </w:rPr>
        <w:t xml:space="preserve">6.1 a hárok Škody v Exceli</w:t>
      </w:r>
    </w:p>
    <w:p>
      <w:pPr>
        <w:pStyle w:val="ListParagraph"/>
        <w:numPr>
          <w:ilvl w:val="0"/>
          <w:numId w:val="2"/>
        </w:numPr>
        <w:spacing w:after="40"/>
      </w:pPr>
      <w:r>
        <w:rPr>
          <w:sz w:val="21"/>
          <w:szCs w:val="21"/>
        </w:rPr>
        <w:t xml:space="preserve">Typ Sklo v októbri 2026: 5 udalostí, spolu 2 530 €.</w:t>
      </w:r>
    </w:p>
    <w:p>
      <w:pPr>
        <w:pStyle w:val="ListParagraph"/>
        <w:numPr>
          <w:ilvl w:val="0"/>
          <w:numId w:val="2"/>
        </w:numPr>
        <w:spacing w:after="40"/>
      </w:pPr>
      <w:r>
        <w:rPr>
          <w:sz w:val="21"/>
          <w:szCs w:val="21"/>
        </w:rPr>
        <w:t xml:space="preserve">Zámerné odchýlky: PU041 parkovanie 47 dní, PU062 sklo za 1 480 € (výmena, nie oprava).</w:t>
      </w:r>
    </w:p>
    <w:p>
      <w:pPr>
        <w:pStyle w:val="ListParagraph"/>
        <w:numPr>
          <w:ilvl w:val="0"/>
          <w:numId w:val="2"/>
        </w:numPr>
        <w:spacing w:after="40"/>
      </w:pPr>
      <w:r>
        <w:rPr>
          <w:sz w:val="21"/>
          <w:szCs w:val="21"/>
        </w:rPr>
        <w:t xml:space="preserve">Priemer dní podľa kanála na hárku: Aplikácia 10,8; Web 17,5; Telefón 19,0.</w:t>
      </w:r>
    </w:p>
    <w:p>
      <w:pPr>
        <w:pStyle w:val="Heading2"/>
        <w:spacing w:after="60" w:before="160"/>
      </w:pPr>
      <w:r>
        <w:rPr>
          <w:b/>
          <w:bCs/>
          <w:sz w:val="22"/>
          <w:szCs w:val="22"/>
        </w:rPr>
        <w:t xml:space="preserve">6.2 a 6.4 – dátumy</w:t>
      </w:r>
    </w:p>
    <w:p>
      <w:pPr>
        <w:spacing w:after="100"/>
      </w:pPr>
      <w:r>
        <w:rPr>
          <w:sz w:val="21"/>
          <w:szCs w:val="21"/>
        </w:rPr>
        <w:t xml:space="preserve">Dátumy výziev a výročí sú pevné okolo jesene 2026. Stav urgencie aj farby podmieneného formátovania sa preto menia podľa dňa kurzu. Na hárku Urgencie sú dva riadky bez dátumu, aby bolo vidieť prvú podmienku vzorca.</w:t>
      </w:r>
    </w:p>
    <w:p>
      <w:pPr>
        <w:pStyle w:val="Heading2"/>
        <w:spacing w:after="60" w:before="160"/>
      </w:pPr>
      <w:r>
        <w:rPr>
          <w:b/>
          <w:bCs/>
          <w:sz w:val="22"/>
          <w:szCs w:val="22"/>
        </w:rPr>
        <w:t xml:space="preserve">6.5 Mená</w:t>
      </w:r>
    </w:p>
    <w:p>
      <w:pPr>
        <w:spacing w:after="100"/>
      </w:pPr>
      <w:r>
        <w:rPr>
          <w:sz w:val="21"/>
          <w:szCs w:val="21"/>
        </w:rPr>
        <w:t xml:space="preserve">Vzorec s TRIM a PROPER nevyrieši poradie Priezvisko Meno, čiarky, tituly, e-mailový tvar ani dvojité mená. Presne o tom má Copilot hovoriť v bode 2.</w:t>
      </w:r>
    </w:p>
    <w:p>
      <w:pPr>
        <w:pStyle w:val="Heading1"/>
        <w:spacing w:after="100" w:before="240"/>
      </w:pPr>
      <w:r>
        <w:rPr>
          <w:b/>
          <w:bCs/>
          <w:color w:val="1266A3"/>
          <w:sz w:val="26"/>
          <w:szCs w:val="26"/>
        </w:rPr>
        <w:t xml:space="preserve">Kontrolný zoznam pred kurzom</w:t>
      </w:r>
    </w:p>
    <w:p>
      <w:pPr>
        <w:pStyle w:val="ListParagraph"/>
        <w:numPr>
          <w:ilvl w:val="0"/>
          <w:numId w:val="2"/>
        </w:numPr>
        <w:spacing w:after="40"/>
      </w:pPr>
      <w:r>
        <w:rPr>
          <w:sz w:val="21"/>
          <w:szCs w:val="21"/>
        </w:rPr>
        <w:t xml:space="preserve">Overte, či sa účastníci prihlásia do Copilot Chat pracovným účtom a vidia ikonu štítu.</w:t>
      </w:r>
    </w:p>
    <w:p>
      <w:pPr>
        <w:pStyle w:val="ListParagraph"/>
        <w:numPr>
          <w:ilvl w:val="0"/>
          <w:numId w:val="2"/>
        </w:numPr>
        <w:spacing w:after="40"/>
      </w:pPr>
      <w:r>
        <w:rPr>
          <w:sz w:val="21"/>
          <w:szCs w:val="21"/>
        </w:rPr>
        <w:t xml:space="preserve">Overte nahrávanie súborov (modul 4, 6 a 7), vyhľadávanie na webe (modul 3) a generovanie obrázkov (5.4). V tenante klienta môžu byť vypnuté.</w:t>
      </w:r>
    </w:p>
    <w:p>
      <w:pPr>
        <w:pStyle w:val="ListParagraph"/>
        <w:numPr>
          <w:ilvl w:val="0"/>
          <w:numId w:val="2"/>
        </w:numPr>
        <w:spacing w:after="40"/>
      </w:pPr>
      <w:r>
        <w:rPr>
          <w:sz w:val="21"/>
          <w:szCs w:val="21"/>
        </w:rPr>
        <w:t xml:space="preserve">Vyskúšajte 3.2, 5.4 a 6.3. Prompty neboli testované v tenante klienta.</w:t>
      </w:r>
    </w:p>
    <w:p>
      <w:pPr>
        <w:pStyle w:val="ListParagraph"/>
        <w:numPr>
          <w:ilvl w:val="0"/>
          <w:numId w:val="2"/>
        </w:numPr>
        <w:spacing w:after="40"/>
      </w:pPr>
      <w:r>
        <w:rPr>
          <w:sz w:val="21"/>
          <w:szCs w:val="21"/>
        </w:rPr>
        <w:t xml:space="preserve">Na úvodný slide dajte QR kód na stránku.</w:t>
      </w:r>
    </w:p>
    <w:p>
      <w:pPr>
        <w:pStyle w:val="ListParagraph"/>
        <w:numPr>
          <w:ilvl w:val="0"/>
          <w:numId w:val="2"/>
        </w:numPr>
        <w:spacing w:after="40"/>
      </w:pPr>
      <w:r>
        <w:rPr>
          <w:sz w:val="21"/>
          <w:szCs w:val="21"/>
        </w:rPr>
        <w:t xml:space="preserve">Pripomeňte: do Copilota žiadne skutočné údaje klientov. Klient sa na stránke ani v podkladoch nespomína, poisťovňa Horizont je vymyslená.</w:t>
      </w:r>
    </w:p>
    <w:p>
      <w:pPr>
        <w:pStyle w:val="ListParagraph"/>
        <w:numPr>
          <w:ilvl w:val="0"/>
          <w:numId w:val="2"/>
        </w:numPr>
        <w:spacing w:after="40"/>
      </w:pPr>
      <w:r>
        <w:rPr>
          <w:sz w:val="21"/>
          <w:szCs w:val="21"/>
        </w:rPr>
        <w:t xml:space="preserve">Modul 6 predpokladá slovenský Excel (bodkočiarka, funkcie AK a DNES).</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Len pre lektora – neposielať účastníkom</w:t>
    </w:r>
    <w:r>
      <w:rPr>
        <w:color w:val="888888"/>
        <w:sz w:val="16"/>
        <w:szCs w:val="16"/>
      </w:rPr>
      <w:t xml:space="preserve">   |   strana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2026-10-06T15:29:08.430Z</dcterms:created>
  <dcterms:modified xsi:type="dcterms:W3CDTF">2026-10-06T15:29:08.431Z</dcterms:modified>
</cp:coreProperties>
</file>

<file path=docProps/custom.xml><?xml version="1.0" encoding="utf-8"?>
<Properties xmlns="http://schemas.openxmlformats.org/officeDocument/2006/custom-properties" xmlns:vt="http://schemas.openxmlformats.org/officeDocument/2006/docPropsVTypes"/>
</file>