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NP-01 Nákupná politika – výrobný materiál</w:t>
      </w:r>
    </w:p>
    <w:p>
      <w:r>
        <w:rPr>
          <w:b w:val="0"/>
          <w:color w:val="6B6B6B"/>
          <w:sz w:val="18"/>
        </w:rPr>
        <w:t>Verzia 3 | platná od 1. 1. 2026 | vlastník: vedúca nákupu</w:t>
      </w:r>
    </w:p>
    <w:p>
      <w:pPr>
        <w:pStyle w:val="Heading1"/>
      </w:pPr>
      <w:r>
        <w:rPr>
          <w:b w:val="0"/>
        </w:rPr>
        <w:t>1 Základné pravidlá</w:t>
      </w:r>
    </w:p>
    <w:p>
      <w:pPr>
        <w:pStyle w:val="ListBullet"/>
      </w:pPr>
      <w:r>
        <w:rPr>
          <w:b w:val="0"/>
        </w:rPr>
        <w:t>Pre každý kritický materiál (granulát, O-krúžky, kovové vložky) máme aspoň dvoch schválených dodávateľov.</w:t>
      </w:r>
    </w:p>
    <w:p>
      <w:pPr>
        <w:pStyle w:val="ListBullet"/>
      </w:pPr>
      <w:r>
        <w:rPr>
          <w:b w:val="0"/>
        </w:rPr>
        <w:t>Dodávateľ výrobného materiálu musí mať certifikát IATF 16949 alebo plán certifikácie schválený kvalitou.</w:t>
      </w:r>
    </w:p>
    <w:p>
      <w:pPr>
        <w:pStyle w:val="ListBullet"/>
      </w:pPr>
      <w:r>
        <w:rPr>
          <w:b w:val="0"/>
        </w:rPr>
        <w:t>Pred prvou dodávkou musí byť v systéme záznam IMDS a materiálový list (datasheet) k ponúkanému typu.</w:t>
      </w:r>
    </w:p>
    <w:p>
      <w:pPr>
        <w:pStyle w:val="ListBullet"/>
      </w:pPr>
      <w:r>
        <w:rPr>
          <w:b w:val="0"/>
        </w:rPr>
        <w:t>Maximálna dodacia lehota pre granulát je 6 týždňov.</w:t>
      </w:r>
    </w:p>
    <w:p>
      <w:pPr>
        <w:pStyle w:val="ListBullet"/>
      </w:pPr>
      <w:r>
        <w:rPr>
          <w:b w:val="0"/>
        </w:rPr>
        <w:t>Preferovaná dodacia podmienka je DAP Senica (Incoterms 2020). Pri EXW sa k cene pripočítava doprava podľa internej tabuľky: granulát 0,08 EUR/kg.</w:t>
      </w:r>
    </w:p>
    <w:p>
      <w:pPr>
        <w:pStyle w:val="ListBullet"/>
      </w:pPr>
      <w:r>
        <w:rPr>
          <w:b w:val="0"/>
        </w:rPr>
        <w:t>Preferovaná platobná lehota je 60 dní, minimálne 45 dní.</w:t>
      </w:r>
    </w:p>
    <w:p>
      <w:pPr>
        <w:pStyle w:val="Heading1"/>
      </w:pPr>
      <w:r>
        <w:rPr>
          <w:b w:val="0"/>
        </w:rPr>
        <w:t>2 Porovnanie ponúk</w:t>
      </w:r>
    </w:p>
    <w:p>
      <w:r>
        <w:rPr>
          <w:b w:val="0"/>
        </w:rPr>
        <w:t>Ponuky sa porovnávajú v jednotnej mene a jednotke (EUR/kg) vrátane dopravy. Pri rozdiele do 3 % rozhoduje hodnotenie dodávateľa (OTD, ppm, komunikácia).</w:t>
      </w:r>
    </w:p>
    <w:p>
      <w:pPr>
        <w:pStyle w:val="Heading1"/>
      </w:pPr>
      <w:r>
        <w:rPr>
          <w:b w:val="0"/>
        </w:rPr>
        <w:t>3 Hodnotenie dodávateľov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Kritérium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Váha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Cieľ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OTD (dodané včas)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40 %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≥ 95 %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Kvalita (reklamované ppm)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35 %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≤ 200 ppm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Cena (cenový index)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15 %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≤ 100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Komunikácia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10 %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≥ 4</w:t>
            </w:r>
          </w:p>
        </w:tc>
      </w:tr>
    </w:tbl>
    <w:p/>
    <w:p>
      <w:r>
        <w:rPr>
          <w:b w:val="0"/>
        </w:rPr>
        <w:t>Dodávateľ s OTD pod 85 % alebo s ppm nad 500 v dvoch po sebe idúcich štvrťrokoch dostáva eskalačný list a plán zlepšenia.</w:t>
      </w:r>
    </w:p>
    <w:p>
      <w:pPr>
        <w:pStyle w:val="Heading1"/>
      </w:pPr>
      <w:r>
        <w:rPr>
          <w:b w:val="0"/>
        </w:rPr>
        <w:t>4 Zmeny cien</w:t>
      </w:r>
    </w:p>
    <w:p>
      <w:r>
        <w:rPr>
          <w:b w:val="0"/>
        </w:rPr>
        <w:t>Žiadosť dodávateľa o zmenu ceny posudzuje nákup do 10 pracovných dní. Zmena sa akceptuje iba s doložením vývoja nákladov. Podpis zmeny ceny nad 5 % schvaľuje konateľ.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