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SM-QM-04 Riadenie reklamácií zákazníkov</w:t>
      </w:r>
    </w:p>
    <w:p>
      <w:r>
        <w:rPr>
          <w:b w:val="0"/>
          <w:color w:val="6B6B6B"/>
          <w:sz w:val="18"/>
        </w:rPr>
        <w:t>Verzia 6 | platná od 1. 3. 2026 | vlastník: vedúca kvality</w:t>
      </w:r>
    </w:p>
    <w:p>
      <w:pPr>
        <w:pStyle w:val="Heading1"/>
      </w:pPr>
      <w:r>
        <w:rPr>
          <w:b w:val="0"/>
        </w:rPr>
        <w:t>1 Účel</w:t>
      </w:r>
    </w:p>
    <w:p>
      <w:r>
        <w:rPr>
          <w:b w:val="0"/>
        </w:rPr>
        <w:t>Smernica určuje postup pri prijatí, riešení a uzavretí reklamácie zákazníka v súlade s IATF 16949 a požiadavkami zákazníkov.</w:t>
      </w:r>
    </w:p>
    <w:p>
      <w:pPr>
        <w:pStyle w:val="Heading1"/>
      </w:pPr>
      <w:r>
        <w:rPr>
          <w:b w:val="0"/>
        </w:rPr>
        <w:t>2 Rozsah</w:t>
      </w:r>
    </w:p>
    <w:p>
      <w:r>
        <w:rPr>
          <w:b w:val="0"/>
        </w:rPr>
        <w:t>Platí pre všetky reklamácie zákazníkov na výrobky TESNEX vrátane reklamácií z poľa.</w:t>
      </w:r>
    </w:p>
    <w:p>
      <w:pPr>
        <w:pStyle w:val="Heading1"/>
      </w:pPr>
      <w:r>
        <w:rPr>
          <w:b w:val="0"/>
        </w:rPr>
        <w:t>3 Lehoty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Krok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Lehota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Zodpovedný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Potvrdenie prijatia reklamácie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do 24 hodín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zákaznícky technik kvality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Okamžité opatrenia (D3) – zadržanie a triedenie zásob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do 24 hodín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vedúci 8D tímu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Hlásenie 3D zákazníkovi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do 48 hodín, ak zákazník nepožaduje inak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vedúci 8D tímu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Analýza príčiny (D4)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do 10 pracovných dní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8D tím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Uzavretie 8D (D8)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do 30 dní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vedúca kvality</w:t>
            </w:r>
          </w:p>
        </w:tc>
      </w:tr>
    </w:tbl>
    <w:p/>
    <w:p>
      <w:pPr>
        <w:pStyle w:val="Heading1"/>
      </w:pPr>
      <w:r>
        <w:rPr>
          <w:b w:val="0"/>
        </w:rPr>
        <w:t>4 Postup 8D</w:t>
      </w:r>
    </w:p>
    <w:p>
      <w:pPr>
        <w:pStyle w:val="ListNumber"/>
      </w:pPr>
      <w:r>
        <w:rPr>
          <w:b w:val="0"/>
        </w:rPr>
        <w:t>D1 Zostavenie tímu: minimálne kvalita, výroba, technológia.</w:t>
      </w:r>
    </w:p>
    <w:p>
      <w:pPr>
        <w:pStyle w:val="ListNumber"/>
      </w:pPr>
      <w:r>
        <w:rPr>
          <w:b w:val="0"/>
        </w:rPr>
        <w:t>D2 Popis problému: čo, kde, kedy, koľko, ako zistené.</w:t>
      </w:r>
    </w:p>
    <w:p>
      <w:pPr>
        <w:pStyle w:val="ListNumber"/>
      </w:pPr>
      <w:r>
        <w:rPr>
          <w:b w:val="0"/>
        </w:rPr>
        <w:t>D3 Okamžité opatrenia: zadržanie podozrivých zásob v sklade TESNEX, v tranzite a u zákazníka, triedenie, označenie vytriedených dodávok.</w:t>
      </w:r>
    </w:p>
    <w:p>
      <w:pPr>
        <w:pStyle w:val="ListNumber"/>
      </w:pPr>
      <w:r>
        <w:rPr>
          <w:b w:val="0"/>
        </w:rPr>
        <w:t>D4 Analýza koreňovej príčiny: 5x prečo, Ishikawa, overenie príčiny výskytu aj nezachytenia.</w:t>
      </w:r>
    </w:p>
    <w:p>
      <w:pPr>
        <w:pStyle w:val="ListNumber"/>
      </w:pPr>
      <w:r>
        <w:rPr>
          <w:b w:val="0"/>
        </w:rPr>
        <w:t>D5 Návrh nápravných opatrení.</w:t>
      </w:r>
    </w:p>
    <w:p>
      <w:pPr>
        <w:pStyle w:val="ListNumber"/>
      </w:pPr>
      <w:r>
        <w:rPr>
          <w:b w:val="0"/>
        </w:rPr>
        <w:t>D6 Zavedenie a overenie účinnosti.</w:t>
      </w:r>
    </w:p>
    <w:p>
      <w:pPr>
        <w:pStyle w:val="ListNumber"/>
      </w:pPr>
      <w:r>
        <w:rPr>
          <w:b w:val="0"/>
        </w:rPr>
        <w:t>D7 Preventívne opatrenia, aktualizácia FMEA a kontrolného plánu.</w:t>
      </w:r>
    </w:p>
    <w:p>
      <w:pPr>
        <w:pStyle w:val="ListNumber"/>
      </w:pPr>
      <w:r>
        <w:rPr>
          <w:b w:val="0"/>
        </w:rPr>
        <w:t>D8 Uzavretie a poďakovanie tímu.</w:t>
      </w:r>
    </w:p>
    <w:p>
      <w:pPr>
        <w:pStyle w:val="Heading1"/>
      </w:pPr>
      <w:r>
        <w:rPr>
          <w:b w:val="0"/>
        </w:rPr>
        <w:t>5 Komunikácia so zákazníkom</w:t>
      </w:r>
    </w:p>
    <w:p>
      <w:pPr>
        <w:pStyle w:val="ListBullet"/>
      </w:pPr>
      <w:r>
        <w:rPr>
          <w:b w:val="0"/>
        </w:rPr>
        <w:t>Pred ukončením analýzy (D4) TESNEX neuznáva zodpovednosť ani nepotvrdzuje príčinu.</w:t>
      </w:r>
    </w:p>
    <w:p>
      <w:pPr>
        <w:pStyle w:val="ListBullet"/>
      </w:pPr>
      <w:r>
        <w:rPr>
          <w:b w:val="0"/>
        </w:rPr>
        <w:t>Zákazníkovi sa vždy oznamuje rozsah okamžitých opatrení a termín ďalšej informácie.</w:t>
      </w:r>
    </w:p>
    <w:p>
      <w:pPr>
        <w:pStyle w:val="ListBullet"/>
      </w:pPr>
      <w:r>
        <w:rPr>
          <w:b w:val="0"/>
        </w:rPr>
        <w:t>Náklady na triedenie u zákazníka schvaľuje vedúca kvality pred potvrdením zákazníkovi.</w:t>
      </w:r>
    </w:p>
    <w:p>
      <w:pPr>
        <w:pStyle w:val="Heading1"/>
      </w:pPr>
      <w:r>
        <w:rPr>
          <w:b w:val="0"/>
        </w:rPr>
        <w:t>6 Záznamy</w:t>
      </w:r>
    </w:p>
    <w:p>
      <w:r>
        <w:rPr>
          <w:b w:val="0"/>
        </w:rPr>
        <w:t>8D report, záznamy o triedení a komunikácia so zákazníkom sa ukladajú v systéme CAQ pod číslom reklamácie najmenej 15 rokov.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