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TESNEX s.r.o. – profil spoločnosti</w:t>
      </w:r>
    </w:p>
    <w:p>
      <w:r>
        <w:rPr>
          <w:b w:val="0"/>
          <w:color w:val="6B6B6B"/>
          <w:sz w:val="18"/>
        </w:rPr>
        <w:t>Fiktívna spoločnosť vytvorená na tréningové účely. Akákoľvek podobnosť so skutočnými firmami je náhodná.</w:t>
      </w:r>
    </w:p>
    <w:p>
      <w:pPr>
        <w:pStyle w:val="Heading1"/>
      </w:pPr>
      <w:r>
        <w:rPr>
          <w:b w:val="0"/>
        </w:rPr>
        <w:t>Kto sme</w:t>
      </w:r>
    </w:p>
    <w:p>
      <w:r>
        <w:rPr>
          <w:b w:val="0"/>
        </w:rPr>
        <w:t>TESNEX s.r.o. vyvíja a vyrába plastové uzávery pre automobilový priemysel. Závod v Senici patrí do nemecko-rakúskej skupiny TESNEX Group so sídlom v Stuttgarte. Na Slovensku pôsobíme od roku 2007 a zamestnávame 420 ľudí.</w:t>
      </w:r>
    </w:p>
    <w:p>
      <w:pPr>
        <w:pStyle w:val="Heading1"/>
      </w:pPr>
      <w:r>
        <w:rPr>
          <w:b w:val="0"/>
        </w:rPr>
        <w:t>Produkty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Rad</w:t>
            </w:r>
          </w:p>
        </w:tc>
        <w:tc>
          <w:tcPr>
            <w:tcW w:type="dxa" w:w="1949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Produkt</w:t>
            </w:r>
          </w:p>
        </w:tc>
        <w:tc>
          <w:tcPr>
            <w:tcW w:type="dxa" w:w="1949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Číslo dielu</w:t>
            </w:r>
          </w:p>
        </w:tc>
        <w:tc>
          <w:tcPr>
            <w:tcW w:type="dxa" w:w="1949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Materiál</w:t>
            </w:r>
          </w:p>
        </w:tc>
        <w:tc>
          <w:tcPr>
            <w:tcW w:type="dxa" w:w="1949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Použitie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20"/>
              </w:rPr>
              <w:t>TC-250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20"/>
              </w:rPr>
              <w:t>Palivový uzáver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20"/>
              </w:rPr>
              <w:t>4410-250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20"/>
              </w:rPr>
              <w:t>POM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20"/>
              </w:rPr>
              <w:t>osobné a úžitkové vozidlá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20"/>
              </w:rPr>
              <w:t>OC-110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20"/>
              </w:rPr>
              <w:t>Olejový uzáver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20"/>
              </w:rPr>
              <w:t>4420-110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20"/>
              </w:rPr>
              <w:t>PA66 GF30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20"/>
              </w:rPr>
              <w:t>spaľovacie motory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20"/>
              </w:rPr>
              <w:t>CC-80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20"/>
              </w:rPr>
              <w:t>Chladiaci uzáver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20"/>
              </w:rPr>
              <w:t>4430-080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20"/>
              </w:rPr>
              <w:t>PP-TD20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20"/>
              </w:rPr>
              <w:t>chladiace okruhy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20"/>
              </w:rPr>
              <w:t>AB-32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20"/>
              </w:rPr>
              <w:t>AdBlue uzáver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20"/>
              </w:rPr>
              <w:t>4440-032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20"/>
              </w:rPr>
              <w:t>PA66 GF30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20"/>
              </w:rPr>
              <w:t>SCR systémy nákladných vozidiel a strojov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20"/>
              </w:rPr>
              <w:t>BV-15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20"/>
              </w:rPr>
              <w:t>Odvetrávací ventil batérie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20"/>
              </w:rPr>
              <w:t>4450-015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20"/>
              </w:rPr>
              <w:t>PA66 GF30 + membrána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  <w:sz w:val="20"/>
              </w:rPr>
              <w:t>batériové elektromobily (BEV)</w:t>
            </w:r>
          </w:p>
        </w:tc>
      </w:tr>
    </w:tbl>
    <w:p/>
    <w:p>
      <w:pPr>
        <w:pStyle w:val="Heading1"/>
      </w:pPr>
      <w:r>
        <w:rPr>
          <w:b w:val="0"/>
        </w:rPr>
        <w:t>Výroba</w:t>
      </w:r>
    </w:p>
    <w:p>
      <w:pPr>
        <w:pStyle w:val="ListBullet"/>
      </w:pPr>
      <w:r>
        <w:rPr>
          <w:b w:val="0"/>
        </w:rPr>
        <w:t>14 vstrekolisov L01 až L14 (80 až 350 t)</w:t>
      </w:r>
    </w:p>
    <w:p>
      <w:pPr>
        <w:pStyle w:val="ListBullet"/>
      </w:pPr>
      <w:r>
        <w:rPr>
          <w:b w:val="0"/>
        </w:rPr>
        <w:t>2 montážne linky s automatickou skúškou tesnosti</w:t>
      </w:r>
    </w:p>
    <w:p>
      <w:pPr>
        <w:pStyle w:val="ListBullet"/>
      </w:pPr>
      <w:r>
        <w:rPr>
          <w:b w:val="0"/>
        </w:rPr>
        <w:t>trojzmenná prevádzka: zmena A (6:00–14:00), zmena B (14:00–22:00), zmena C (22:00–6:00)</w:t>
      </w:r>
    </w:p>
    <w:p>
      <w:pPr>
        <w:pStyle w:val="ListBullet"/>
      </w:pPr>
      <w:r>
        <w:rPr>
          <w:b w:val="0"/>
        </w:rPr>
        <w:t>vlastné laboratórium a výroba prototypov</w:t>
      </w:r>
    </w:p>
    <w:p>
      <w:pPr>
        <w:pStyle w:val="Heading1"/>
      </w:pPr>
      <w:r>
        <w:rPr>
          <w:b w:val="0"/>
        </w:rPr>
        <w:t>Kľúčoví zákazníci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Zákazník</w:t>
            </w:r>
          </w:p>
        </w:tc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Krajina</w:t>
            </w:r>
          </w:p>
        </w:tc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Segment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Norvik Trucks AG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Nemecko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nákladné vozidlá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Alpenmobil GmbH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Rakúsko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osobné vozidlá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Agrodyn S.A.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Francúzsko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poľnohospodárske stroje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Baustahl Maschinen GmbH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Nemecko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stavebné stroje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Velor Vans s.r.o.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Česko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dodávky</w:t>
            </w:r>
          </w:p>
        </w:tc>
      </w:tr>
    </w:tbl>
    <w:p/>
    <w:p>
      <w:pPr>
        <w:pStyle w:val="Heading1"/>
      </w:pPr>
      <w:r>
        <w:rPr>
          <w:b w:val="0"/>
        </w:rPr>
        <w:t>Certifikácie</w:t>
      </w:r>
    </w:p>
    <w:p>
      <w:pPr>
        <w:pStyle w:val="ListBullet"/>
      </w:pPr>
      <w:r>
        <w:rPr>
          <w:b w:val="0"/>
        </w:rPr>
        <w:t>IATF 16949:2016</w:t>
      </w:r>
    </w:p>
    <w:p>
      <w:pPr>
        <w:pStyle w:val="ListBullet"/>
      </w:pPr>
      <w:r>
        <w:rPr>
          <w:b w:val="0"/>
        </w:rPr>
        <w:t>ISO 9001:2015</w:t>
      </w:r>
    </w:p>
    <w:p>
      <w:pPr>
        <w:pStyle w:val="ListBullet"/>
      </w:pPr>
      <w:r>
        <w:rPr>
          <w:b w:val="0"/>
        </w:rPr>
        <w:t>ISO 14001:2015</w:t>
      </w:r>
    </w:p>
    <w:p>
      <w:pPr>
        <w:pStyle w:val="ListBullet"/>
      </w:pPr>
      <w:r>
        <w:rPr>
          <w:b w:val="0"/>
        </w:rPr>
        <w:t>ISO 50001</w:t>
      </w:r>
    </w:p>
    <w:p>
      <w:pPr>
        <w:pStyle w:val="Heading1"/>
      </w:pPr>
      <w:r>
        <w:rPr>
          <w:b w:val="0"/>
        </w:rPr>
        <w:t>Organizácia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Útvar</w:t>
            </w:r>
          </w:p>
        </w:tc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Vedúci</w:t>
            </w:r>
          </w:p>
        </w:tc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Počet ľudí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Výroba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Ing. Peter Valach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310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Kvalita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Ing. Katarína Šimková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38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Nákup a logistika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Ing. Lucia Ondrušová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16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Procesný manažment a technológia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Ing. Martin Hrnčiar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22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Vývoj a projekty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Ing. Juraj Babiak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19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HR a ekonomika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Mgr. Eva Kollárová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15</w:t>
            </w:r>
          </w:p>
        </w:tc>
      </w:tr>
    </w:tbl>
    <w:p/>
    <w:p>
      <w:r>
        <w:rPr>
          <w:b w:val="0"/>
        </w:rPr>
        <w:t>Komunikácia so skupinou prebieha v nemčine a angličtine. Interné dokumenty závodu sú v slovenčine.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6B6B6B"/>
        <w:sz w:val="18"/>
      </w:rPr>
      <w:t>TESNEX s.r.o. | Záhorský priemyselný park 7, 905 01 Senica | interný dokument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