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Podklad k mesačnému reportu – september 2026</w:t>
      </w:r>
    </w:p>
    <w:p>
      <w:r>
        <w:rPr>
          <w:b w:val="0"/>
          <w:color w:val="6B6B6B"/>
          <w:sz w:val="18"/>
        </w:rPr>
        <w:t>pre vedenie závodu a TESNEX Group | pripravil útvar kvality a procesného manažmentu | stav k 7. 10. 2026</w:t>
      </w:r>
    </w:p>
    <w:p>
      <w:pPr>
        <w:pStyle w:val="Heading2"/>
      </w:pPr>
      <w:r>
        <w:rPr>
          <w:b w:val="0"/>
        </w:rPr>
        <w:t>Kvalita</w:t>
      </w:r>
    </w:p>
    <w:p>
      <w:pPr>
        <w:pStyle w:val="ListBullet"/>
      </w:pPr>
      <w:r>
        <w:rPr>
          <w:b w:val="0"/>
        </w:rPr>
        <w:t>Prijatých 40 reklamácií, z toho 16 netesností. Najviac zasiahnutý výrobok AB-32 (11 reklamácií).</w:t>
      </w:r>
    </w:p>
    <w:p>
      <w:pPr>
        <w:pStyle w:val="ListBullet"/>
      </w:pPr>
      <w:r>
        <w:rPr>
          <w:b w:val="0"/>
        </w:rPr>
        <w:t>Eskalácia u Norvik Trucks (úroveň 1) – 64 netesných uzáverov AB-32, 8D v riešení.</w:t>
      </w:r>
    </w:p>
    <w:p>
      <w:pPr>
        <w:pStyle w:val="ListBullet"/>
      </w:pPr>
      <w:r>
        <w:rPr>
          <w:b w:val="0"/>
        </w:rPr>
        <w:t>Zmetkovitosť lisu L07 na nočnej zmene je dlhodobo trojnásobne vyššia ako na ostatných zmenách.</w:t>
      </w:r>
    </w:p>
    <w:p>
      <w:pPr>
        <w:pStyle w:val="Heading2"/>
      </w:pPr>
      <w:r>
        <w:rPr>
          <w:b w:val="0"/>
        </w:rPr>
        <w:t>Procesy</w:t>
      </w:r>
    </w:p>
    <w:p>
      <w:pPr>
        <w:pStyle w:val="ListBullet"/>
      </w:pPr>
      <w:r>
        <w:rPr>
          <w:b w:val="0"/>
        </w:rPr>
        <w:t>OEE lisu L03 kleslo v 38. týždni na približne 62 %, príčina: predĺžený cyklus po oprave temperovania.</w:t>
      </w:r>
    </w:p>
    <w:p>
      <w:pPr>
        <w:pStyle w:val="ListBullet"/>
      </w:pPr>
      <w:r>
        <w:rPr>
          <w:b w:val="0"/>
        </w:rPr>
        <w:t>Výmena formy na zmene C trvá v priemere 101 minút, na zmenách A a B 49 minút. Pripravená zmena ZZ-2026-031.</w:t>
      </w:r>
    </w:p>
    <w:p>
      <w:pPr>
        <w:pStyle w:val="Heading2"/>
      </w:pPr>
      <w:r>
        <w:rPr>
          <w:b w:val="0"/>
        </w:rPr>
        <w:t>Nákup</w:t>
      </w:r>
    </w:p>
    <w:p>
      <w:pPr>
        <w:pStyle w:val="ListBullet"/>
      </w:pPr>
      <w:r>
        <w:rPr>
          <w:b w:val="0"/>
        </w:rPr>
        <w:t>OTD dodávateľa Granoplast a.s. kleslo v Q3 na 71 %. Pripravuje sa eskalačný list.</w:t>
      </w:r>
    </w:p>
    <w:p>
      <w:pPr>
        <w:pStyle w:val="ListBullet"/>
      </w:pPr>
      <w:r>
        <w:rPr>
          <w:b w:val="0"/>
        </w:rPr>
        <w:t>Polymera GmbH žiada od 1. 1. 2027 zdraženie o 12 %. Index PA66 za posledných 12 mesiacov klesol o 11 %.</w:t>
      </w:r>
    </w:p>
    <w:p>
      <w:pPr>
        <w:pStyle w:val="Heading2"/>
      </w:pPr>
      <w:r>
        <w:rPr>
          <w:b w:val="0"/>
        </w:rPr>
        <w:t>Priority na október</w:t>
      </w:r>
    </w:p>
    <w:p>
      <w:pPr>
        <w:pStyle w:val="ListNumber"/>
      </w:pPr>
      <w:r>
        <w:rPr>
          <w:b w:val="0"/>
        </w:rPr>
        <w:t>Uzavrieť 8D Norvik Trucks.</w:t>
      </w:r>
    </w:p>
    <w:p>
      <w:pPr>
        <w:pStyle w:val="ListNumber"/>
      </w:pPr>
      <w:r>
        <w:rPr>
          <w:b w:val="0"/>
        </w:rPr>
        <w:t>Zaviesť kontrolu vlhkosti granulátu pri každej šarži.</w:t>
      </w:r>
    </w:p>
    <w:p>
      <w:pPr>
        <w:pStyle w:val="ListNumber"/>
      </w:pPr>
      <w:r>
        <w:rPr>
          <w:b w:val="0"/>
        </w:rPr>
        <w:t>Vyjednať cenu PA66 na rok 2027.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