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AIR BLACKBOX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Competitor Analysis &amp; Keyword Funnel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EU AI Act Compliance Tool Market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March 2026</w:t>
      </w:r>
    </w:p>
    <w:p>
      <w:pPr>
        <w:pBdr>
          <w:top w:val="single" w:color="58A6FF" w:sz="6" w:space="1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Prepared for: Jason Shotwell</w:t>
      </w:r>
    </w:p>
    <w:p>
      <w:pPr>
        <w:jc w:val="center"/>
      </w:pPr>
      <w:r>
        <w:rPr>
          <w:rFonts w:ascii="Arial" w:cs="Arial" w:eastAsia="Arial" w:hAnsi="Arial"/>
          <w:color w:val="58A6FF"/>
          <w:sz w:val="22"/>
          <w:szCs w:val="22"/>
        </w:rPr>
        <w:t xml:space="preserve">airblackbox.ai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EU AI Act high-risk compliance deadline of August 2, 2026 is now less than 5 months away. This creates a rapidly growing market for compliance tooling, with search interest surging across developer, legal, and enterprise audiences.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AIR Blackbox occupies a unique position: the only open-source Python-native compliance scanner ecosystem with 7 PyPI packages, a fine-tuned LLM, and framework-specific trust layers for LangChain, CrewAI, and AutoGen. No other tool combines all three.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This report maps your direct competitors (open-source and enterprise), identifies keyword gaps where AIR Blackbox can win organic traffic, and provides a content funnel strategy to capture developers and compliance teams searching for solutions before the August deadline.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Market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March 2026 marks the first month GPAI model providers face active enforcement of transparency and documentation obligations under the EU AI Act. For most high-risk AI systems, major obligations apply from August 2, 2026. Organizations that delay tooling decisions will reach the deadline with incomplete compliance work.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The compliance tool market splits into four segments: GRC automation platforms (Vanta, Drata), enterprise AI governance (Credo AI, Holistic AI), developer observability tools, and workflow-level runtime control. AIR Blackbox competes in the developer tools segment with a unique runtime compliance layer approach.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Direct Open-Source Competitors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are the tools most similar to AIR Blackbox. They target developers, are free, and focus on EU AI Act compliance scanning.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366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/ Approach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d4bpoey6b4mlj_mdepe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ArkForge MCP EU AI Act Scanner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via MCP protocol; scans codebases for AI framework 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2yw3boqxk3pfozhb_62y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Systima Comply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+ GitHub 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npm-based CLI; 37+ framework support; CI/CD native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eq1osb3xak6pl35wfukr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EuConform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classification, bias detection, 100% offline, GDPR-by-design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onu5brky7liwlco9uchj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COMPL-AI Framework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 Framework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Benchmarking suite for GenAI models against EU AI 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tq7-fwqjnkn78utcj8e0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ARQNXS Compliance Checker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Questionnaire-based assessment with report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dognjzj8nw8qtv3kkqn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desiorac MCP EU AI Act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variant for EU AI Act scanning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Competitive Positioning vs. 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vs. Systima Comply (highest threat): </w:t>
      </w:r>
      <w:r>
        <w:rPr>
          <w:rFonts w:ascii="Arial" w:cs="Arial" w:eastAsia="Arial" w:hAnsi="Arial"/>
          <w:sz w:val="22"/>
          <w:szCs w:val="22"/>
        </w:rPr>
        <w:t xml:space="preserve">They have CI/CD integration via GitHub Action and npm distribution. AIR Blackbox counters with Python-native ecosystem (7 PyPI packages vs. their 1 npm package), a fine-tuned compliance LLM, and runtime trust layers that Systima lacks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vs. ArkForge MCP Scanner: </w:t>
      </w:r>
      <w:r>
        <w:rPr>
          <w:rFonts w:ascii="Arial" w:cs="Arial" w:eastAsia="Arial" w:hAnsi="Arial"/>
          <w:sz w:val="22"/>
          <w:szCs w:val="22"/>
        </w:rPr>
        <w:t xml:space="preserve">Both use Python, but ArkForge is MCP-only (requires MCP-compatible client). AIR Blackbox works standalone via CLI, API, and as a framework trust layer. ArkForge has strong Dev.to content marketing to emulate.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vs. EuConform: </w:t>
      </w:r>
      <w:r>
        <w:rPr>
          <w:rFonts w:ascii="Arial" w:cs="Arial" w:eastAsia="Arial" w:hAnsi="Arial"/>
          <w:sz w:val="22"/>
          <w:szCs w:val="22"/>
        </w:rPr>
        <w:t xml:space="preserve">EuConform has offline-first and GDPR-by-design positioning. AIR Blackbox should emphasize its broader scope: 7 packages, HMAC audit chains, and framework integrations that EuConform lacks.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vs. COMPL-AI: </w:t>
      </w:r>
      <w:r>
        <w:rPr>
          <w:rFonts w:ascii="Arial" w:cs="Arial" w:eastAsia="Arial" w:hAnsi="Arial"/>
          <w:sz w:val="22"/>
          <w:szCs w:val="22"/>
        </w:rPr>
        <w:t xml:space="preserve">Different category (model evaluation benchmarks vs. code scanning). Potential partnership/citation opportunity rather than competitor.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Enterprise / SaaS Competitors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platforms target compliance teams, legal departments, and large organizations. They are not direct competitors for developer adoption, but they dominate high-volume keywords.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Credo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hcwjamfou5ziy16b0tze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https://www.credo.ai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AI governance leader; pre-built EU AI Act policy packs mapped to Annex III/IV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Holistic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x7p1t3c4t4x_tdpunv3z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https://www.holisticai.com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lifecycle governance; covers both provider and deployer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eidcmaeqmcbbx-mkxbbq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https://www.vanta.com/products/eu-ai-act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GRC automation with EU AI Act compliance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OneTrust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cwyct1eswhy_yafzgqjs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https://www.onetrust.com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Privacy-first AI governance; large existing customer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zxvyag36vqfk-ueye1g9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https://www.drata.com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GRC automation expanding into AI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 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rindgq_nlj7tn3gp_1o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https://www.trail-ml.com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Governance Copilot; developer-focused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Securiti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ghdcefv4awsn7lehvnv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https://securiti.ai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+ AI governance; EU AI Act assessments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8zqgcrnmwbvguwbc3xql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https://fairnow.ai</w:t>
              </w:r>
            </w:hyperlink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 + ISO 42001 mapping; fairness focused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Mid-market</w:t>
            </w:r>
          </w:p>
        </w:tc>
      </w:tr>
    </w:tbl>
    <w:p>
      <w:pPr>
        <w:spacing w:before="200"/>
      </w:pP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Key insight: Enterprise tools like Credo AI and Holistic AI dominate top-of-funnel keywords, but developers searching for hands-on tools find them irrelevant. AIR Blackbox wins by targeting the developer-practitioner gap these platforms ignore.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Reference &amp; Authority 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not competitors but dominate search results. Content strategy should reference and link to them for authority signals: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artificialintelligenceact.eu </w:t>
      </w:r>
      <w:r>
        <w:rPr>
          <w:rFonts w:ascii="Arial" w:cs="Arial" w:eastAsia="Arial" w:hAnsi="Arial"/>
          <w:sz w:val="22"/>
          <w:szCs w:val="22"/>
        </w:rPr>
        <w:t xml:space="preserve">- Official EU AI Act text, compliance checker, explorer. Links from here are gold.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ai-act-service-desk.ec.europa.eu </w:t>
      </w:r>
      <w:r>
        <w:rPr>
          <w:rFonts w:ascii="Arial" w:cs="Arial" w:eastAsia="Arial" w:hAnsi="Arial"/>
          <w:sz w:val="22"/>
          <w:szCs w:val="22"/>
        </w:rPr>
        <w:t xml:space="preserve">- EU Commission's official compliance checker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nist.gov/artificial-intelligence </w:t>
      </w:r>
      <w:r>
        <w:rPr>
          <w:rFonts w:ascii="Arial" w:cs="Arial" w:eastAsia="Arial" w:hAnsi="Arial"/>
          <w:sz w:val="22"/>
          <w:szCs w:val="22"/>
        </w:rPr>
        <w:t xml:space="preserve">- NIST AI RMF framework. Cross-referencing NIST + EU AI Act is a content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kla.digital/blog/best-eu-ai-act-compliance-software-2026 </w:t>
      </w:r>
      <w:r>
        <w:rPr>
          <w:rFonts w:ascii="Arial" w:cs="Arial" w:eastAsia="Arial" w:hAnsi="Arial"/>
          <w:sz w:val="22"/>
          <w:szCs w:val="22"/>
        </w:rPr>
        <w:t xml:space="preserve">- Buyer's guide that AIR Blackbox should aim to be listed 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Keyword Funnel Strategy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The following keyword funnel is organized by buyer intent stage. Focus content creation on middle-of-funnel (MOFU) and bottom-of-funnel (BOFU) keywords first, as these have the lowest competition and highest conversion potential. Top-of-funnel (TOFU) keywords build authority over time.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Top of Funnel (Awareness)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Goal: Capture developers and compliance teams just starting to research EU AI Act compliance. These keywords have high search volume but also high competition from enterprise platforms and legal sites.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6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Blog series + FAQ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Act August 2026 deadline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Countdown/timeline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high-risk AI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Explainer article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governance open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requirements for developers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guide + tutorial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EU AI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explainer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compliance checklist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Downloadable checklist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 vs EU AI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article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42001 AI management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 guide</w:t>
            </w:r>
          </w:p>
        </w:tc>
      </w:tr>
    </w:tbl>
    <w:p>
      <w:pPr>
        <w:spacing w:before="2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Middle of Funnel (Consideration)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Goal: Capture developers actively evaluating tools. These are the highest-priority keywords because competition is low and intent is strong. AIR Blackbox can realistically rank on page 1 for most of these within 60-90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6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compliance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landing page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compliance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+ demo page SEO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compliance automation open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README + comparison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code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blog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 EU AI Act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guide (framework-specific)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CrewAI compliance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AutoGen AI Act trust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compliance CI/CD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 tutorial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risk classification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Systima Comply alternative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Credo AI open source alternative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</w:t>
            </w:r>
          </w:p>
        </w:tc>
      </w:tr>
    </w:tbl>
    <w:p>
      <w:pPr>
        <w:spacing w:before="2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Bottom of Funnel (Decision/Action)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Goal: Capture developers ready to install and use a tool right now. These have the lowest volume but highest conversion. Every one of these searchers is a potential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6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ai compliance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PyPI page + quickstart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compliance Python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Quickstart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air-blackbox 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+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scanner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README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EU AI Act compliance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demo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compliance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docs / spec page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90-Day Content Sprint (April – June 2026)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With the August 2 deadline approaching, the next 90 days are the highest-leverage window for organic content. Here is the priority order: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Month 1: April 2026 —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Publish comparison page: "AIR Blackbox vs Systima Comply vs ArkForge" targeting tool-comparison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</w:t>
      </w:r>
      <w:r>
        <w:rPr>
          <w:rFonts w:ascii="Arial" w:cs="Arial" w:eastAsia="Arial" w:hAnsi="Arial"/>
          <w:sz w:val="22"/>
          <w:szCs w:val="22"/>
        </w:rPr>
        <w:t xml:space="preserve">Publish "EU AI Act Compliance for Python Developers: Complete Guide" (2,000+ words, targets TOFU + MOFU keywords)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3: </w:t>
      </w:r>
      <w:r>
        <w:rPr>
          <w:rFonts w:ascii="Arial" w:cs="Arial" w:eastAsia="Arial" w:hAnsi="Arial"/>
          <w:sz w:val="22"/>
          <w:szCs w:val="22"/>
        </w:rPr>
        <w:t xml:space="preserve">Publish 3 framework-specific integration guides (LangChain, CrewAI, AutoGen) targeting long-tail MOFU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4: </w:t>
      </w:r>
      <w:r>
        <w:rPr>
          <w:rFonts w:ascii="Arial" w:cs="Arial" w:eastAsia="Arial" w:hAnsi="Arial"/>
          <w:sz w:val="22"/>
          <w:szCs w:val="22"/>
        </w:rPr>
        <w:t xml:space="preserve">Submit to KLA Digital buyer's guide and VenVera comparison list for backlink acquisition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Month 2: May 2026 —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5: </w:t>
      </w:r>
      <w:r>
        <w:rPr>
          <w:rFonts w:ascii="Arial" w:cs="Arial" w:eastAsia="Arial" w:hAnsi="Arial"/>
          <w:sz w:val="22"/>
          <w:szCs w:val="22"/>
        </w:rPr>
        <w:t xml:space="preserve">Publish "NIST AI RMF vs EU AI Act: Mapping Guide" (untapped keyword with zero competition)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6: </w:t>
      </w:r>
      <w:r>
        <w:rPr>
          <w:rFonts w:ascii="Arial" w:cs="Arial" w:eastAsia="Arial" w:hAnsi="Arial"/>
          <w:sz w:val="22"/>
          <w:szCs w:val="22"/>
        </w:rPr>
        <w:t xml:space="preserve">Publish "ISO 42001 to EU AI Act Compliance Mapping" with downloadable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7: </w:t>
      </w:r>
      <w:r>
        <w:rPr>
          <w:rFonts w:ascii="Arial" w:cs="Arial" w:eastAsia="Arial" w:hAnsi="Arial"/>
          <w:sz w:val="22"/>
          <w:szCs w:val="22"/>
        </w:rPr>
        <w:t xml:space="preserve">Dev.to article: "How I Built an Open-Source EU AI Act Scanner" (story-driven, targets developer audience)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8: </w:t>
      </w:r>
      <w:r>
        <w:rPr>
          <w:rFonts w:ascii="Arial" w:cs="Arial" w:eastAsia="Arial" w:hAnsi="Arial"/>
          <w:sz w:val="22"/>
          <w:szCs w:val="22"/>
        </w:rPr>
        <w:t xml:space="preserve">Hacker News Show HN post timed with a new release (v1.8 or v2.0)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Month 3: June 2026 — Urgency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9: </w:t>
      </w:r>
      <w:r>
        <w:rPr>
          <w:rFonts w:ascii="Arial" w:cs="Arial" w:eastAsia="Arial" w:hAnsi="Arial"/>
          <w:sz w:val="22"/>
          <w:szCs w:val="22"/>
        </w:rPr>
        <w:t xml:space="preserve">Publish "60 Days Until EU AI Act: Developer Compliance Checklist" (urgency-driven TOFU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10: </w:t>
      </w:r>
      <w:r>
        <w:rPr>
          <w:rFonts w:ascii="Arial" w:cs="Arial" w:eastAsia="Arial" w:hAnsi="Arial"/>
          <w:sz w:val="22"/>
          <w:szCs w:val="22"/>
        </w:rPr>
        <w:t xml:space="preserve">Launch "Free EU AI Act Compliance Check" landing page with live demo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11: </w:t>
      </w:r>
      <w:r>
        <w:rPr>
          <w:rFonts w:ascii="Arial" w:cs="Arial" w:eastAsia="Arial" w:hAnsi="Arial"/>
          <w:sz w:val="22"/>
          <w:szCs w:val="22"/>
        </w:rPr>
        <w:t xml:space="preserve">Publish "EU AI Act Compliance CI/CD Pipeline Tutorial" with GitHub Action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12: </w:t>
      </w:r>
      <w:r>
        <w:rPr>
          <w:rFonts w:ascii="Arial" w:cs="Arial" w:eastAsia="Arial" w:hAnsi="Arial"/>
          <w:sz w:val="22"/>
          <w:szCs w:val="22"/>
        </w:rPr>
        <w:t xml:space="preserve">Roundup post: "Every Open-Source EU AI Act Tool Compared" (link magnet for the entire space)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 Gaps AIR Blackbox Can Exploit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on the competitive analysis, these are the most actionable gaps: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 trust layers are unique. </w:t>
      </w:r>
      <w:r>
        <w:rPr>
          <w:rFonts w:ascii="Arial" w:cs="Arial" w:eastAsia="Arial" w:hAnsi="Arial"/>
          <w:sz w:val="22"/>
          <w:szCs w:val="22"/>
        </w:rPr>
        <w:t xml:space="preserve">No competitor offers LangChain/CrewAI/AutoGen-specific compliance wrappers. This is AIR Blackbox's strongest differentiator and should be the centerpiece of every comparison.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Fine-tuned compliance LLM is unique. </w:t>
      </w:r>
      <w:r>
        <w:rPr>
          <w:rFonts w:ascii="Arial" w:cs="Arial" w:eastAsia="Arial" w:hAnsi="Arial"/>
          <w:sz w:val="22"/>
          <w:szCs w:val="22"/>
        </w:rPr>
        <w:t xml:space="preserve">Every competitor uses rule-based scanning or questionnaires. AIR Blackbox's fine-tuned model can understand context and nuance in compliance assessment.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NIST/ISO cross-mapping content gap. </w:t>
      </w:r>
      <w:r>
        <w:rPr>
          <w:rFonts w:ascii="Arial" w:cs="Arial" w:eastAsia="Arial" w:hAnsi="Arial"/>
          <w:sz w:val="22"/>
          <w:szCs w:val="22"/>
        </w:rPr>
        <w:t xml:space="preserve">No competitor publishes content mapping EU AI Act checks to NIST AI RMF or ISO 42001. This is a wide-open keyword opportunity.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7-package PyPI ecosystem. </w:t>
      </w:r>
      <w:r>
        <w:rPr>
          <w:rFonts w:ascii="Arial" w:cs="Arial" w:eastAsia="Arial" w:hAnsi="Arial"/>
          <w:sz w:val="22"/>
          <w:szCs w:val="22"/>
        </w:rPr>
        <w:t xml:space="preserve">No other project offers a multi-package compliance ecosystem. Competitors have 1 package or 1 CLI tool. Emphasize the breadth.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HMAC-SHA256 audit chain. </w:t>
      </w:r>
      <w:r>
        <w:rPr>
          <w:rFonts w:ascii="Arial" w:cs="Arial" w:eastAsia="Arial" w:hAnsi="Arial"/>
          <w:sz w:val="22"/>
          <w:szCs w:val="22"/>
        </w:rPr>
        <w:t xml:space="preserve">No competitor provides cryptographic audit trails. This matters for enterprise buyers who need provable compliance records.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"Open-source alternative to Credo AI" positioning. </w:t>
      </w:r>
      <w:r>
        <w:rPr>
          <w:rFonts w:ascii="Arial" w:cs="Arial" w:eastAsia="Arial" w:hAnsi="Arial"/>
          <w:sz w:val="22"/>
          <w:szCs w:val="22"/>
        </w:rPr>
        <w:t xml:space="preserve">This comparison keyword has near-zero competition but captures enterprise teams looking for cheaper alternatives.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with MOFU content first (comparison pages and integration guides) — lowest effort, highest conversion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JSON-LD SoftwareApplication schema to homepage with competitor alternativeTo markup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Submit AIR Blackbox to buyer's guides (KLA Digital, VenVera, scmGalaxy) for backlinks and visibility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Publish weekly blog posts targeting one MOFU keyword each, building toward the August deadline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Mirror ArkForge's Dev.to content strategy — they post weekly and it drives GitHub stars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Track keyword rankings monthly using Google Search Console and adjust content priorities based on what's gaining traction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AIR Blackbox — Competitor Analysis &amp; Keyword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d4bpoey6b4mlj_mdepeo" Type="http://schemas.openxmlformats.org/officeDocument/2006/relationships/hyperlink" Target="https://github.com/ark-forge/mcp-eu-ai-act" TargetMode="External"/><Relationship Id="rIdc2yw3boqxk3pfozhb_62y" Type="http://schemas.openxmlformats.org/officeDocument/2006/relationships/hyperlink" Target="https://github.com/systima-ai/comply" TargetMode="External"/><Relationship Id="rId5eq1osb3xak6pl35wfukr" Type="http://schemas.openxmlformats.org/officeDocument/2006/relationships/hyperlink" Target="https://github.com/Hiepler/EuConform" TargetMode="External"/><Relationship Id="rIdkonu5brky7liwlco9uchj" Type="http://schemas.openxmlformats.org/officeDocument/2006/relationships/hyperlink" Target="https://github.com/compl-ai/compl-ai" TargetMode="External"/><Relationship Id="rIdgtq7-fwqjnkn78utcj8e0" Type="http://schemas.openxmlformats.org/officeDocument/2006/relationships/hyperlink" Target="https://github.com/ARQNXS/eu-ai-act-compliance-checker" TargetMode="External"/><Relationship Id="rId6dognjzj8nw8qtv3kkqna" Type="http://schemas.openxmlformats.org/officeDocument/2006/relationships/hyperlink" Target="https://github.com/desiorac/mcp-eu-ai-act" TargetMode="External"/><Relationship Id="rIdchcwjamfou5ziy16b0tze" Type="http://schemas.openxmlformats.org/officeDocument/2006/relationships/hyperlink" Target="https://www.credo.ai" TargetMode="External"/><Relationship Id="rIdwx7p1t3c4t4x_tdpunv3z" Type="http://schemas.openxmlformats.org/officeDocument/2006/relationships/hyperlink" Target="https://www.holisticai.com" TargetMode="External"/><Relationship Id="rIdheidcmaeqmcbbx-mkxbbq" Type="http://schemas.openxmlformats.org/officeDocument/2006/relationships/hyperlink" Target="https://www.vanta.com/products/eu-ai-act" TargetMode="External"/><Relationship Id="rIdvcwyct1eswhy_yafzgqjs" Type="http://schemas.openxmlformats.org/officeDocument/2006/relationships/hyperlink" Target="https://www.onetrust.com" TargetMode="External"/><Relationship Id="rIdmzxvyag36vqfk-ueye1g9" Type="http://schemas.openxmlformats.org/officeDocument/2006/relationships/hyperlink" Target="https://www.drata.com" TargetMode="External"/><Relationship Id="rIdzrindgq_nlj7tn3gp_1oo" Type="http://schemas.openxmlformats.org/officeDocument/2006/relationships/hyperlink" Target="https://www.trail-ml.com" TargetMode="External"/><Relationship Id="rIdzghdcefv4awsn7lehvnvi" Type="http://schemas.openxmlformats.org/officeDocument/2006/relationships/hyperlink" Target="https://securiti.ai" TargetMode="External"/><Relationship Id="rId38zqgcrnmwbvguwbc3xql" Type="http://schemas.openxmlformats.org/officeDocument/2006/relationships/hyperlink" Target="https://fairnow.ai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2026-03-30T20:58:34.462Z</dcterms:created>
  <dcterms:modified xsi:type="dcterms:W3CDTF">2026-03-30T20:58:34.462Z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