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2018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4131)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215)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4346)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0.498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4.54 (4.41)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4.33 (4.94)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4.53 (4.44)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(1.3, 5.4)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6.23 (8.31)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9.47 (23.40)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6.39 (9.65)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54846.37 (142979.18)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105477.34 (451557.90)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57351.13 (172031.28)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19280.0 (12213.0, 35965.0)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25905.0 (15005.0, 51294.0)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19527.5 (12368.0, 36604.0)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0.0, 2375326.0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4317.0, 6093881.0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0.0, 6093881.0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0.302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850.43 (2516.65)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667.17 (2956.64)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841.36 (2540.13)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1250.0)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1227.0)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0.0, 32693.0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0.858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7290.85 (22787.13)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7009.13 (15375.65)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7276.91 (22476.81)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796.0 (190.0, 6070.0)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919.0 (259.0, 4732.0)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804.5 (190.0, 5997.0)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0.0, 98532.0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0.011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1.22 (1.47)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0.96 (1.12)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1.21 (1.46)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0.29 (0.79)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1.63 (2.51)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0.74 (1.41)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前年急診次數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0.57 (2.23)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1.59 (2.66)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0.62 (2.26)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(2.48)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7.90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6.53 (2.50)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0.564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1946 (47.1%)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97 (45.1%)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2193 (46.5%)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2183 (52.9%)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118 (54.9%)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2522 (53.5%)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3806 (92.1%)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179 (83.3%)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4040 (85.6%)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325 (7.9%)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 (16.7%)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677 (14.4%)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0.075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1456 (35.2%)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 (29.3%)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1865 (39.5%)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2675 (64.8%)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152 (70.7%)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2852 (60.5%)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申請診斷證明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0.062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否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1214 (29.4%)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76 (35.3%)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1549 (32.8%)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是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2917 (70.6%)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139 (64.7%)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3168 (67.2%)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隸屬group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否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3694 (89.4%)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168 (78.1%)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4179 (88.6%)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是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437 (10.6%)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(21.9%)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538 (11.4%)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