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34"/>
        </w:rPr>
        <w:t>问题四 模型与工作流</w:t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一、问题描述与关键假设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问题四要求：外网电价实际上也是实时波动的，需根据附件2 的小区负载与光伏实际发电、附件3 的光伏发电预报、附件4 的电价数据，在波动电价下重新计算问题二与问题三。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也就是说，问题四并没有引入新的决策机制，而是把问题二、问题三的模型整体搬到“电价不再固定”的环境下，检验它们的适应性与经济性。</w:t>
      </w:r>
    </w:p>
    <w:p>
      <w:pPr>
        <w:spacing w:before="160" w:after="100"/>
      </w:pPr>
      <w:r>
        <w:rPr>
          <w:rFonts w:ascii="黑体" w:hAnsi="黑体" w:eastAsia="黑体"/>
          <w:b/>
          <w:sz w:val="23"/>
        </w:rPr>
        <w:t>附件4 的数据特征（实测）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形状 365 × 144，与附件1 逐时段一一对应；列均值恒等于附件1 的电价，最大绝对差仅 5.2e-5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全局 0.0076 ~ 1.7936 元/kWh，均值 0.7662 元/kWh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逐日均价在 0.5378 ~ 0.9290 之间漂移（标准差 0.1036），最高日与最低日相差 73%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日内峰谷比均值 5.74（附件1 固定电价下为 3.76）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由此可以确认附件4 的生成结构：电价 = 附件1 的分时形状 + 逐日整体水平漂移 + 逐槽噪声：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\frac{1}{365}\sum_{d=1}^{365}\pi_{d,t} \;\equiv\; \pi^{\mathrm{att1}}_t\qquad\left(\max_t\left|\,\cdot\,\right| = 5.2\times 10^{-5}\right)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195828" cy="19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8db3dac5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\mathrm{R}_d = \frac{\max_t \pi_{d,t}}{\min_t \pi_{d,t}},\qquad\overline{\mathrm{R}} = \frac{1}{365}\sum_{d}\mathrm{R}_d = 5.74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610612" cy="219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c9a463a0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612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这一结构意味着两件事：日内「谷充峰放」的套利依然存在（甚至更有利，因为峰谷比更大），同时</w:t>
      </w:r>
      <w:r>
        <w:rPr>
          <w:rFonts w:ascii="宋体" w:hAnsi="宋体" w:eastAsia="宋体"/>
          <w:b/>
          <w:sz w:val="21"/>
        </w:rPr>
        <w:t>新出现了跨日套利</w:t>
      </w:r>
      <w:r>
        <w:rPr>
          <w:rFonts w:ascii="宋体" w:hAnsi="宋体" w:eastAsia="宋体"/>
          <w:b w:val="0"/>
          <w:sz w:val="21"/>
        </w:rPr>
        <w:t>的空间（在便宜的日期多充、在昂贵的日期多放）。</w:t>
      </w:r>
    </w:p>
    <w:p>
      <w:pPr>
        <w:spacing w:before="160" w:after="100"/>
      </w:pPr>
      <w:r>
        <w:rPr>
          <w:rFonts w:ascii="黑体" w:hAnsi="黑体" w:eastAsia="黑体"/>
          <w:b/>
          <w:sz w:val="23"/>
        </w:rPr>
        <w:t>关键假设</w:t>
      </w:r>
    </w:p>
    <w:p>
      <w:r>
        <w:rPr>
          <w:rFonts w:ascii="宋体" w:hAnsi="宋体" w:eastAsia="宋体"/>
          <w:b w:val="0"/>
          <w:sz w:val="21"/>
        </w:rPr>
        <w:t>假设①：当天 0:00 已能获知当天的完整电价曲线（日前市场提前公布电价），故电价不需要预测，计划 LP 直接使用当天实际电价。这与题目「根据附件4 的电价数据」的表述一致。</w:t>
      </w:r>
    </w:p>
    <w:p>
      <w:r>
        <w:rPr>
          <w:rFonts w:ascii="宋体" w:hAnsi="宋体" w:eastAsia="宋体"/>
          <w:b w:val="0"/>
          <w:sz w:val="21"/>
        </w:rPr>
        <w:t>假设②：除电价外，其余口径与问题二、问题三完全一致 —— 逐槽被动平衡执行、报童分位安全裕量、附件3 整点预报按点值口径插值。</w:t>
      </w:r>
    </w:p>
    <w:p>
      <w:pPr>
        <w:spacing w:after="80"/>
        <w:ind w:left="480"/>
      </w:pPr>
      <w:r>
        <w:rPr>
          <w:rFonts w:ascii="宋体" w:hAnsi="宋体" w:eastAsia="宋体"/>
          <w:b/>
          <w:color w:val="1F497D"/>
          <w:sz w:val="19"/>
        </w:rPr>
        <w:t>注：</w:t>
      </w:r>
      <w:r>
        <w:rPr>
          <w:rFonts w:ascii="宋体" w:hAnsi="宋体" w:eastAsia="宋体"/>
          <w:b w:val="0"/>
          <w:color w:val="1F497D"/>
          <w:sz w:val="19"/>
        </w:rPr>
        <w:t>这样处理的目的，是让「固定电价 → 波动电价」的差异可以完全归因于电价本身，而不是被其他口径变化污染。</w:t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二、对应问题二：0:00 计划 + 逐槽被动平衡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模型与问题二完全同构，只是把固定的 π_t 换成逐日逐时段的 π_{d,t}。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决策变量：b_t（购电量）、c_t（充电）、d_t（放电）、s_t（弃光）、E_t（储电量）。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约束条件与问题二一致：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日前功率平衡：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b_t + \hat{G}_{d,t} + d_t - c_t - s_t = \tilde{L}_{d,t},\qquad \forall t = 1,\dots,144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195828" cy="192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530a7806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储能动态容量演化与初值、上下限、非负性：与问题二完全相同。</w:t>
      </w:r>
    </w:p>
    <w:p>
      <w:r>
        <w:rPr>
          <w:rFonts w:ascii="宋体" w:hAnsi="宋体" w:eastAsia="宋体"/>
          <w:b w:val="0"/>
          <w:sz w:val="21"/>
        </w:rPr>
        <w:t>目标函数：最小化单日计划购电费用（电价随时段变化）：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\min\ \sum_{t=1}^{144}\pi_{d,t}\cdot b_t\cdot\Delta 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403604" cy="187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d992c489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3604" cy="18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安全裕量口径与问题二一致：逐时段取历史 30 天净负荷预测误差的 0.76 分位数。求解方式为逐日滚动，储电量逐日连续传递。</w:t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三、对应问题三：6:00 / 12:00 / 18:00 四阶段滚动调整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模型与问题三完全同构，同样只是把 π_t 换成 π_{d,t}。购电费用函数变为：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C_t = \pi_{d,t}\min(b^{p}_t,\ b^{a}_t) + 0.5\pi_{d,t}\left(b^{p}_t - b^{a}_t\right)^{+} + 1.5\pi_{d,t}\left(b^{a}_t - b^{p}_t\right)^{+}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13048" cy="187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f4cd18e7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8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线性化方式不变：b^a_t = b^p_t + δ⁺_t − δ⁻_t，C_t = π_{d,t}b^p_t + 1.5π_{d,t}δ⁺_t − 0.5π_{d,t}δ⁻_t；逐槽被动平衡规则同样通过凸分段线性约束精确嵌入 LP。</w:t>
      </w:r>
    </w:p>
    <w:p>
      <w:r>
        <w:rPr>
          <w:rFonts w:ascii="宋体" w:hAnsi="宋体" w:eastAsia="宋体"/>
          <w:b w:val="0"/>
          <w:sz w:val="21"/>
        </w:rPr>
        <w:t>滚动目标函数：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\min\ \sum_{t=t_0}^{144}\left[\,C_t + 5\pi_{d,t}\,e_t\,\Delta t\,\right]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10512" cy="1965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d0393fd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19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其余口径与问题三一致：光伏预报取 40% 附件3 + 60% 前 3 天均值；负载预报为上周同一天叠加当日自适应修正（限幅 ±20%）；安全裕量为逐时段历史 60 天负载误差的 0.75 分位数；决策时刻 (0, 6, 12, 18)。</w:t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四、波动电价带来的新机会：跨日套利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固定电价（附件1）下每一天的电价形状完全相同，储能无法把能量搬到另一天去获益，因此逐日独立决策与多日联合优化的差别极小 —— 实测只差 0.139%（见 q2_多日LP对比.txt）。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波动电价（附件4）下逐日均价在 0.54 ~ 0.93 之间漂移，跨日套利空间被打开：可以在便宜的日期多充电、在昂贵的日期多放电。此时理论上更完整的模型是</w:t>
      </w:r>
      <w:r>
        <w:rPr>
          <w:rFonts w:ascii="宋体" w:hAnsi="宋体" w:eastAsia="宋体"/>
          <w:b/>
          <w:sz w:val="21"/>
        </w:rPr>
        <w:t>多日（滚动视界）联合优化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\min\ \sum_{d=d_0}^{d_0+K-1}\sum_{t=1}^{144}\pi_{d,t}\, b_{d,t}\,\Delta 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938528" cy="196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16fbec8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9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其与逐日优化的唯一区别在于储电量不再要求「每日末回到初值」，而是在窗口内跨日连续：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E_{d,t} = E_{d,t-1} + \left(\eta\, c_{d,t} - \frac{d_{d,t}}{\eta}\right)\Delta t,\qquad E_{d,0} = E_{d-1,\,144}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406140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3b1d506e4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1"/>
        </w:rPr>
        <w:t>为保证可比，对比时两侧都使用</w:t>
      </w:r>
      <w:r>
        <w:rPr>
          <w:rFonts w:ascii="宋体" w:hAnsi="宋体" w:eastAsia="宋体"/>
          <w:b/>
          <w:sz w:val="21"/>
        </w:rPr>
        <w:t>实际</w:t>
      </w:r>
      <w:r>
        <w:rPr>
          <w:rFonts w:ascii="宋体" w:hAnsi="宋体" w:eastAsia="宋体"/>
          <w:b w:val="0"/>
          <w:sz w:val="21"/>
        </w:rPr>
        <w:t>净负荷与</w:t>
      </w:r>
      <w:r>
        <w:rPr>
          <w:rFonts w:ascii="宋体" w:hAnsi="宋体" w:eastAsia="宋体"/>
          <w:b/>
          <w:sz w:val="21"/>
        </w:rPr>
        <w:t>实际</w:t>
      </w:r>
      <w:r>
        <w:rPr>
          <w:rFonts w:ascii="宋体" w:hAnsi="宋体" w:eastAsia="宋体"/>
          <w:b w:val="0"/>
          <w:sz w:val="21"/>
        </w:rPr>
        <w:t>电价，即不存在任何预测误差，差额就完全来自「决策视界」的不同。以 7 日窗口实测：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逐日 LP：1,629,250.9 元；7 日联合 LP：1,622,550.5 元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节省 6,700.4 元，相对 </w:t>
      </w:r>
      <w:r>
        <w:rPr>
          <w:rFonts w:ascii="宋体" w:hAnsi="宋体" w:eastAsia="宋体"/>
          <w:b/>
          <w:sz w:val="21"/>
        </w:rPr>
        <w:t>0.411%</w:t>
      </w:r>
      <w:r>
        <w:rPr>
          <w:rFonts w:ascii="宋体" w:hAnsi="宋体" w:eastAsia="宋体"/>
          <w:b w:val="0"/>
          <w:sz w:val="21"/>
        </w:rPr>
        <w:t>（固定电价下同口径仅为 0.139%，约 3 倍）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但绝对量仍然很小，根本原因是容量的硬约束：储能可用容量只有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E_{\max} - E_{\min} = 10800 - 1200 = 9600\ \mathrm{kWh}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706624" cy="128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129aebfc4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12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而日均净负荷约 7 万 kWh，两者相差近一个数量级。「跨日搬运能量」会被这个容量上限卡死，因此逐日 + 日内套利已经捕获了绝大部分价值。</w:t>
      </w:r>
    </w:p>
    <w:p>
      <w:pPr>
        <w:spacing w:after="80"/>
        <w:ind w:left="480"/>
      </w:pPr>
      <w:r>
        <w:rPr>
          <w:rFonts w:ascii="宋体" w:hAnsi="宋体" w:eastAsia="宋体"/>
          <w:b/>
          <w:color w:val="1F497D"/>
          <w:sz w:val="19"/>
        </w:rPr>
        <w:t>注：</w:t>
      </w:r>
      <w:r>
        <w:rPr>
          <w:rFonts w:ascii="宋体" w:hAnsi="宋体" w:eastAsia="宋体"/>
          <w:b w:val="0"/>
          <w:color w:val="1F497D"/>
          <w:sz w:val="19"/>
        </w:rPr>
        <w:t>实用结论：波动电价下仍可采用逐日决策（即问题二、问题三的模型）；多日联合优化是理论上更完整的形式，实际增益有限，可作为模型的进一步讨论方向。</w:t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五、全年结果（供核对）</w:t>
      </w:r>
    </w:p>
    <w:p>
      <w:r>
        <w:rPr>
          <w:rFonts w:ascii="宋体" w:hAnsi="宋体" w:eastAsia="宋体"/>
          <w:b w:val="0"/>
          <w:sz w:val="21"/>
        </w:rPr>
        <w:t>2025-02-01 至 2025-12-31，共 334 天。两个口径都用同一套因果规则求解，保证结果可归因：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对应问题二：计划购电量 21,505,541.3 kWh；计划购电费 13,757,329.3 元；紧急购电量 146,514.8 kWh / 876,751.2 元；</w:t>
      </w:r>
      <w:r>
        <w:rPr>
          <w:rFonts w:ascii="宋体" w:hAnsi="宋体" w:eastAsia="宋体"/>
          <w:b/>
          <w:sz w:val="21"/>
        </w:rPr>
        <w:t>总购电费 14,634,080.5 元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对应问题三：计划购电量 20,969,438.2 kWh；调整后购电量 21,075,477.9 kWh（净 +106,039.7）；计划购电费 13,394,689.4 元；调整净增 257,672.3 元；紧急购电量 98,327.5 kWh / 558,593.0 元；</w:t>
      </w:r>
      <w:r>
        <w:rPr>
          <w:rFonts w:ascii="宋体" w:hAnsi="宋体" w:eastAsia="宋体"/>
          <w:b/>
          <w:sz w:val="21"/>
        </w:rPr>
        <w:t>总购电费 14,210,954.8 元</w:t>
      </w:r>
    </w:p>
    <w:p>
      <w:r>
        <w:rPr>
          <w:rFonts w:ascii="宋体" w:hAnsi="宋体" w:eastAsia="宋体"/>
          <w:b w:val="0"/>
          <w:sz w:val="21"/>
        </w:rPr>
        <w:t>固定电价（附件1）与波动电价（附件4）的对比：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1) </w:t>
      </w:r>
      <w:r>
        <w:rPr>
          <w:rFonts w:ascii="宋体" w:hAnsi="宋体" w:eastAsia="宋体"/>
          <w:b w:val="0"/>
          <w:sz w:val="21"/>
        </w:rPr>
        <w:t>对应问题二：13,949,108.5 → 14,634,080.5 元，+684,972.0 元（+4.91%）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2) </w:t>
      </w:r>
      <w:r>
        <w:rPr>
          <w:rFonts w:ascii="宋体" w:hAnsi="宋体" w:eastAsia="宋体"/>
          <w:b w:val="0"/>
          <w:sz w:val="21"/>
        </w:rPr>
        <w:t>对应问题三：13,589,362.4 → 14,210,954.8 元，+621,592.4 元（+4.57%）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3) </w:t>
      </w:r>
      <w:r>
        <w:rPr>
          <w:rFonts w:ascii="宋体" w:hAnsi="宋体" w:eastAsia="宋体"/>
          <w:b w:val="0"/>
          <w:sz w:val="21"/>
        </w:rPr>
        <w:t>参考基准（无储能、按现货价直接购买净负荷）：16,407,319.6 → 17,026,782.9 元（+619,463.3 元，+3.78%）</w:t>
      </w:r>
    </w:p>
    <w:p>
      <w:r>
        <w:rPr>
          <w:rFonts w:ascii="宋体" w:hAnsi="宋体" w:eastAsia="宋体"/>
          <w:b w:val="0"/>
          <w:sz w:val="21"/>
        </w:rPr>
        <w:t>几点结论：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波动电价下问题三相对问题二仍省 423,125.7 元（2.89%），比固定电价下的 2.58% 还略高，说明多阶段滚动调整在电价波动时价值更大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实际平均购电单价从 0.6505 元/kWh 升到 0.6805 元/kWh，费用上升的主因是附件4 的日内峰谷比更高（5.74 vs 3.76），使「弃光」与「按高价紧急购电」的代价同时被放大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储能相对无储能基准的节省：波动电价下 17,026,782.9 − 14,210,954.8 = 2,815,828.1 元（16.54%），储能的价值在波动电价下同样成立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