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B4B" w:val="clear"/>
            <w:tcMar>
              <w:top w:type="dxa" w:w="24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ACE Lead Scoring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9FE1CB"/>
                <w:sz w:val="24"/>
                <w:szCs w:val="24"/>
              </w:rPr>
              <w:t xml:space="preserve">Problem Statement &amp; Product Direction</w:t>
            </w:r>
          </w:p>
          <w:p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Internal Working Document  ·  April 2026  ·  Sanjeev Chadha, Senior PM</w:t>
            </w:r>
          </w:p>
        </w:tc>
      </w:tr>
    </w:tbl>
    <w:p>
      <w:pPr>
        <w:spacing w:after="0" w:before="1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THE PROBLEM</w:t>
      </w:r>
    </w:p>
    <w:p>
      <w:pPr>
        <w:pBdr>
          <w:bottom w:val="single" w:color="0F6E56" w:sz="4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We score leads one at a time.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Buying decisions are never made by one person. The unit we score and the unit that buys are different.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Our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current scoring measures data quality, not lead quality.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Job title check + email validity + company size = a clean record. It says nothing about whether that lead belongs on this campaign.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GTM keeps getting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high-scoring leads they cannot work with.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 VP at a large enterprise always scores well under the current system — even when the campaign targets mid-market Directors.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 have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no account-level buying signal.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Multiple contacts from the same account downloading related content in a 30-day window is the buying intent signal clients want. We cannot detect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Rule-based scoring has hit its ceiling.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Static rules cannot adapt to the variability of targeting criteria, campaign context, and client ICP across programmes.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WHY THIS MATTERS NOW</w:t>
      </w:r>
    </w:p>
    <w:p>
      <w:pPr>
        <w:pBdr>
          <w:bottom w:val="single" w:color="0F6E56" w:sz="4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DS team is ready to build the model — but without a locked problem statement, they will optimise for the wrong 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Jitendra is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finalising the training dataset this week.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Label definition must be agreed before he closes it. Labels cannot be changed without rebuilding from scratch.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Forrester validates the direction.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Terry Flaherty (VP Principal Analyst): individual lead activity scores have near-zero correlation to buying propensity. Account-level buying committee signals are the meaningful predictor.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GTM pushback is escalating.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Every high-scoring-but-unworkable lead erodes trust in the score. Without a fix, the score becomes a noise signal that teams route around.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WHAT WE ARE TRYING TO ACHIEVE</w:t>
      </w:r>
    </w:p>
    <w:p>
      <w:pPr>
        <w:pBdr>
          <w:bottom w:val="single" w:color="0F6E56" w:sz="4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score that reflects genuine lead quality — not just data completeness.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Scoring that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understands campaign context.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Same person, different campaign, different score. A Director is a good lead only when the campaign is targeting Directors.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Account-level buying committee detection.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Identify when multiple contacts from the same account are engaging in a pattern that suggests a buying group is forming. That is the insight clients actually need.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 model ops teams will act 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Explainable, auditable, grounded in the same criteria ops already uses. Not a black box score that requires a leap of faith.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PRODUCT THINKING APPROACH — THE WHATS AND WHYS</w:t>
      </w:r>
    </w:p>
    <w:p>
      <w:pPr>
        <w:pBdr>
          <w:bottom w:val="single" w:color="0F6E56" w:sz="4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Start with what we can validate.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Baseline model predicts individual lead quality (approve vs. reject) using ops disposition data already in Snowflake. Provable, fast, and grounded in existing business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Move custom fit scoring from rules to ML.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Rules cannot handle the variability of campaign context. ML learns those patterns from outcomes. Job title, seniority, and company size become contextual inputs — not fixed weights.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Buying group scoring is Layer 2, not the baseline.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It is the right long-term architecture. But it requires account-level engagement data across a time window we are still building. Sequencing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Label quality is the foundation of everything.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Operational rejects — weekly pacing, volume caps — must be excluded from training labels. Including them teaches the model to penalise good leads who arrived at the wrong time.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WHAT SUCCESS LOOKS LIKE</w:t>
      </w:r>
    </w:p>
    <w:p>
      <w:pPr>
        <w:pBdr>
          <w:bottom w:val="single" w:color="0F6E56" w:sz="4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Ops approval rate improves — fewer valid leads get rejected because the model provides context where rules gave none.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GTM false positive rate drops — fewer high-scoring leads that CMs cannot work with.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CXMs can explain why an account is flagged — not just that it 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 is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validated with ops and business stakeholders before production.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Not shipped and then validated. Validation is the gate.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clear, sequenced path from individual lead quality (baseline) to buying group signals (Layer 2).</w:t>
      </w:r>
    </w:p>
    <w:p>
      <w:pPr>
        <w:spacing w:after="0"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pacing w:val="40"/>
          <w:sz w:val="18"/>
          <w:szCs w:val="18"/>
        </w:rPr>
        <w:t xml:space="preserve">WHAT WE ARE NOT DOING</w:t>
      </w:r>
    </w:p>
    <w:p>
      <w:pPr>
        <w:pBdr>
          <w:bottom w:val="single" w:color="E5E7EB" w:sz="4" w:space="1"/>
        </w:pBdr>
        <w:spacing w:after="0" w:before="0"/>
      </w:pP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 building buying group entity scoring in the baseline. That is Layer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 replacing ops judgment — augmenting it with model-driven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 scoring leads in isolation from campaign brief. The model must know what the client is targeting.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 going to production without business stakeholder sign-off.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 treating the Monday project plan as locked until the three architectural decisions are confirmed with Loveesh and Henry.</w:t>
      </w:r>
    </w:p>
    <w:p>
      <w:pPr>
        <w:spacing w:after="0" w:before="60"/>
      </w:pP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E5E7EB"/>
        <w:sz w:val="16"/>
        <w:szCs w:val="16"/>
      </w:rPr>
      <w:t xml:space="preserve">    |    ACE Lead Scoring Initiative    |    </w:t>
    </w:r>
    <w:r>
      <w:rPr>
        <w:rFonts w:ascii="Arial" w:cs="Arial" w:eastAsia="Arial" w:hAnsi="Arial"/>
        <w:color w:val="6B7280"/>
        <w:sz w:val="16"/>
        <w:szCs w:val="16"/>
      </w:rPr>
      <w:t xml:space="preserve">Not for external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6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2026-04-02T11:22:16.751Z</dcterms:created>
  <dcterms:modified xsi:type="dcterms:W3CDTF">2026-04-02T11:22:16.752Z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