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left"/>
      </w:pPr>
      <w:r>
        <w:rPr>
          <w:b/>
          <w:caps/>
          <w:color w:val="BA4B26"/>
          <w:sz w:val="18"/>
        </w:rPr>
        <w:t>ACE BUYING INTELLIGENCE PLATFORM</w:t>
      </w:r>
    </w:p>
    <w:p>
      <w:pPr>
        <w:jc w:val="left"/>
      </w:pPr>
      <w:r>
        <w:rPr>
          <w:b/>
          <w:color w:val="17212D"/>
          <w:sz w:val="52"/>
        </w:rPr>
        <w:t>Lead Scoring Model — Technical Reference</w:t>
      </w:r>
    </w:p>
    <w:p>
      <w:r>
        <w:rPr>
          <w:i/>
          <w:color w:val="5B6777"/>
          <w:sz w:val="22"/>
        </w:rPr>
        <w:t>How leads are scored · What is factual · What is assumed · How the final score is calculated</w:t>
      </w:r>
    </w:p>
    <w:p>
      <w:r>
        <w:rPr>
          <w:color w:val="5B6777"/>
          <w:sz w:val="18"/>
        </w:rPr>
        <w:t>Prepared: April 2026  ·  Model version: prd_runtime_lightgbm_20260402110658  ·  Runtime: Promoted LightGBM</w:t>
      </w:r>
    </w:p>
    <w:p>
      <w:pPr>
        <w:spacing w:before="120" w:after="120"/>
        <w:pBdr>
          <w:bottom w:val="single" w:sz="4" w:color="DDDDDD"/>
        </w:pBdr>
      </w:pPr>
    </w:p>
    <w:p>
      <w:pPr>
        <w:spacing w:before="440" w:after="120"/>
      </w:pPr>
      <w:r>
        <w:rPr>
          <w:b/>
          <w:color w:val="BA4B26"/>
          <w:sz w:val="40"/>
        </w:rPr>
        <w:t>1. System Overview</w:t>
      </w:r>
    </w:p>
    <w:p>
      <w:pPr>
        <w:spacing w:before="40" w:after="80"/>
      </w:pPr>
      <w:r>
        <w:rPr>
          <w:i w:val="0"/>
          <w:color w:val="17212D"/>
          <w:sz w:val="20"/>
        </w:rPr>
        <w:t>The ACE platform is a two-layer scoring system. Layer 1 scores each individual lead on approval probability (0–100). Layer 2 aggregates approved personas across an account to detect buying-group completeness and trigger BDR handoffs. Both layers run every time a lead is imported via the portal or the API.</w:t>
      </w:r>
    </w:p>
    <w:p>
      <w:pPr>
        <w:spacing w:before="320" w:after="80"/>
      </w:pPr>
      <w:r>
        <w:rPr>
          <w:b/>
          <w:color w:val="17212D"/>
          <w:sz w:val="26"/>
        </w:rPr>
        <w:t>Runtime mode</w:t>
      </w:r>
    </w:p>
    <w:p>
      <w:pPr>
        <w:spacing w:before="40" w:after="80"/>
      </w:pPr>
      <w:r>
        <w:rPr>
          <w:i w:val="0"/>
          <w:color w:val="17212D"/>
          <w:sz w:val="20"/>
        </w:rPr>
        <w:t>A promoted LightGBM model (lead_quality_model.pkl) was detected at startup. This means the platform is currently running in ML mode, not heuristic-baseline mode. The heuristic weighted formula is NOT active for scoring — it is described in this document as the fallback only.</w:t>
      </w:r>
    </w:p>
    <w:tbl>
      <w:tblPr>
        <w:tblStyle w:val="TableGrid"/>
        <w:tblW w:type="auto" w:w="0"/>
        <w:tblLook w:firstColumn="1" w:firstRow="1" w:lastColumn="0" w:lastRow="0" w:noHBand="0" w:noVBand="1" w:val="04A0"/>
      </w:tblPr>
      <w:tblGrid>
        <w:gridCol w:w="4536"/>
        <w:gridCol w:w="4536"/>
      </w:tblGrid>
      <w:tr>
        <w:tc>
          <w:tcPr>
            <w:tcW w:type="dxa" w:w="4032"/>
            <w:vAlign w:val="center"/>
            <w:shd w:val="clear" w:color="auto" w:fill="17212D"/>
          </w:tcPr>
          <w:p>
            <w:pPr>
              <w:spacing w:before="60" w:after="60"/>
            </w:pPr>
            <w:r>
              <w:rPr>
                <w:b/>
                <w:color w:val="FFFFFF"/>
                <w:sz w:val="18"/>
              </w:rPr>
              <w:t>Property</w:t>
            </w:r>
          </w:p>
        </w:tc>
        <w:tc>
          <w:tcPr>
            <w:tcW w:type="dxa" w:w="6048"/>
            <w:vAlign w:val="center"/>
            <w:shd w:val="clear" w:color="auto" w:fill="17212D"/>
          </w:tcPr>
          <w:p>
            <w:pPr>
              <w:spacing w:before="60" w:after="60"/>
            </w:pPr>
            <w:r>
              <w:rPr>
                <w:b/>
                <w:color w:val="FFFFFF"/>
                <w:sz w:val="18"/>
              </w:rPr>
              <w:t>Value</w:t>
            </w:r>
          </w:p>
        </w:tc>
      </w:tr>
      <w:tr>
        <w:tc>
          <w:tcPr>
            <w:tcW w:type="dxa" w:w="4032"/>
            <w:shd w:val="clear" w:color="auto" w:fill="F3EDE3"/>
            <w:vAlign w:val="center"/>
          </w:tcPr>
          <w:p>
            <w:pPr>
              <w:spacing w:before="40" w:after="40"/>
            </w:pPr>
            <w:r>
              <w:rPr>
                <w:b w:val="0"/>
                <w:color w:val="17212D"/>
                <w:sz w:val="18"/>
              </w:rPr>
              <w:t>Model algorithm</w:t>
            </w:r>
          </w:p>
        </w:tc>
        <w:tc>
          <w:tcPr>
            <w:tcW w:type="dxa" w:w="6048"/>
            <w:shd w:val="clear" w:color="auto" w:fill="F3EDE3"/>
            <w:vAlign w:val="center"/>
          </w:tcPr>
          <w:p>
            <w:pPr>
              <w:spacing w:before="40" w:after="40"/>
            </w:pPr>
            <w:r>
              <w:rPr>
                <w:b w:val="0"/>
                <w:color w:val="17212D"/>
                <w:sz w:val="18"/>
              </w:rPr>
              <w:t>LightGBM (promoted April 2, 2026)</w:t>
            </w:r>
          </w:p>
        </w:tc>
      </w:tr>
      <w:tr>
        <w:tc>
          <w:tcPr>
            <w:tcW w:type="dxa" w:w="4032"/>
            <w:shd w:val="clear" w:color="auto" w:fill="FFFFFF"/>
            <w:vAlign w:val="center"/>
          </w:tcPr>
          <w:p>
            <w:pPr>
              <w:spacing w:before="40" w:after="40"/>
            </w:pPr>
            <w:r>
              <w:rPr>
                <w:b w:val="0"/>
                <w:color w:val="17212D"/>
                <w:sz w:val="18"/>
              </w:rPr>
              <w:t>Model version ID</w:t>
            </w:r>
          </w:p>
        </w:tc>
        <w:tc>
          <w:tcPr>
            <w:tcW w:type="dxa" w:w="6048"/>
            <w:shd w:val="clear" w:color="auto" w:fill="FFFFFF"/>
            <w:vAlign w:val="center"/>
          </w:tcPr>
          <w:p>
            <w:pPr>
              <w:spacing w:before="40" w:after="40"/>
            </w:pPr>
            <w:r>
              <w:rPr>
                <w:b w:val="0"/>
                <w:color w:val="17212D"/>
                <w:sz w:val="18"/>
              </w:rPr>
              <w:t>prd_runtime_lightgbm_20260402110658</w:t>
            </w:r>
          </w:p>
        </w:tc>
      </w:tr>
      <w:tr>
        <w:tc>
          <w:tcPr>
            <w:tcW w:type="dxa" w:w="4032"/>
            <w:shd w:val="clear" w:color="auto" w:fill="F3EDE3"/>
            <w:vAlign w:val="center"/>
          </w:tcPr>
          <w:p>
            <w:pPr>
              <w:spacing w:before="40" w:after="40"/>
            </w:pPr>
            <w:r>
              <w:rPr>
                <w:b w:val="0"/>
                <w:color w:val="17212D"/>
                <w:sz w:val="18"/>
              </w:rPr>
              <w:t>Calibrated</w:t>
            </w:r>
          </w:p>
        </w:tc>
        <w:tc>
          <w:tcPr>
            <w:tcW w:type="dxa" w:w="6048"/>
            <w:shd w:val="clear" w:color="auto" w:fill="F3EDE3"/>
            <w:vAlign w:val="center"/>
          </w:tcPr>
          <w:p>
            <w:pPr>
              <w:spacing w:before="40" w:after="40"/>
            </w:pPr>
            <w:r>
              <w:rPr>
                <w:b/>
                <w:color w:val="B63A3A"/>
                <w:sz w:val="18"/>
              </w:rPr>
              <w:t>No — raw predict_proba() output</w:t>
            </w:r>
          </w:p>
        </w:tc>
      </w:tr>
      <w:tr>
        <w:tc>
          <w:tcPr>
            <w:tcW w:type="dxa" w:w="4032"/>
            <w:shd w:val="clear" w:color="auto" w:fill="FFFFFF"/>
            <w:vAlign w:val="center"/>
          </w:tcPr>
          <w:p>
            <w:pPr>
              <w:spacing w:before="40" w:after="40"/>
            </w:pPr>
            <w:r>
              <w:rPr>
                <w:b w:val="0"/>
                <w:color w:val="17212D"/>
                <w:sz w:val="18"/>
              </w:rPr>
              <w:t>Split strategy</w:t>
            </w:r>
          </w:p>
        </w:tc>
        <w:tc>
          <w:tcPr>
            <w:tcW w:type="dxa" w:w="6048"/>
            <w:shd w:val="clear" w:color="auto" w:fill="FFFFFF"/>
            <w:vAlign w:val="center"/>
          </w:tcPr>
          <w:p>
            <w:pPr>
              <w:spacing w:before="40" w:after="40"/>
            </w:pPr>
            <w:r>
              <w:rPr>
                <w:b w:val="0"/>
                <w:color w:val="17212D"/>
                <w:sz w:val="18"/>
              </w:rPr>
              <w:t>Stratified random (80/20)</w:t>
            </w:r>
          </w:p>
        </w:tc>
      </w:tr>
      <w:tr>
        <w:tc>
          <w:tcPr>
            <w:tcW w:type="dxa" w:w="4032"/>
            <w:shd w:val="clear" w:color="auto" w:fill="F3EDE3"/>
            <w:vAlign w:val="center"/>
          </w:tcPr>
          <w:p>
            <w:pPr>
              <w:spacing w:before="40" w:after="40"/>
            </w:pPr>
            <w:r>
              <w:rPr>
                <w:b w:val="0"/>
                <w:color w:val="17212D"/>
                <w:sz w:val="18"/>
              </w:rPr>
              <w:t>AUC-ROC (holdout)</w:t>
            </w:r>
          </w:p>
        </w:tc>
        <w:tc>
          <w:tcPr>
            <w:tcW w:type="dxa" w:w="6048"/>
            <w:shd w:val="clear" w:color="auto" w:fill="F3EDE3"/>
            <w:vAlign w:val="center"/>
          </w:tcPr>
          <w:p>
            <w:pPr>
              <w:spacing w:before="40" w:after="40"/>
            </w:pPr>
            <w:r>
              <w:rPr>
                <w:b w:val="0"/>
                <w:color w:val="17212D"/>
                <w:sz w:val="18"/>
              </w:rPr>
              <w:t>0.748</w:t>
            </w:r>
          </w:p>
        </w:tc>
      </w:tr>
      <w:tr>
        <w:tc>
          <w:tcPr>
            <w:tcW w:type="dxa" w:w="4032"/>
            <w:shd w:val="clear" w:color="auto" w:fill="FFFFFF"/>
            <w:vAlign w:val="center"/>
          </w:tcPr>
          <w:p>
            <w:pPr>
              <w:spacing w:before="40" w:after="40"/>
            </w:pPr>
            <w:r>
              <w:rPr>
                <w:b w:val="0"/>
                <w:color w:val="17212D"/>
                <w:sz w:val="18"/>
              </w:rPr>
              <w:t>CV AUC (5-fold mean)</w:t>
            </w:r>
          </w:p>
        </w:tc>
        <w:tc>
          <w:tcPr>
            <w:tcW w:type="dxa" w:w="6048"/>
            <w:shd w:val="clear" w:color="auto" w:fill="FFFFFF"/>
            <w:vAlign w:val="center"/>
          </w:tcPr>
          <w:p>
            <w:pPr>
              <w:spacing w:before="40" w:after="40"/>
            </w:pPr>
            <w:r>
              <w:rPr>
                <w:b w:val="0"/>
                <w:color w:val="17212D"/>
                <w:sz w:val="18"/>
              </w:rPr>
              <w:t>0.752 ± 0.003</w:t>
            </w:r>
          </w:p>
        </w:tc>
      </w:tr>
      <w:tr>
        <w:tc>
          <w:tcPr>
            <w:tcW w:type="dxa" w:w="4032"/>
            <w:shd w:val="clear" w:color="auto" w:fill="F3EDE3"/>
            <w:vAlign w:val="center"/>
          </w:tcPr>
          <w:p>
            <w:pPr>
              <w:spacing w:before="40" w:after="40"/>
            </w:pPr>
            <w:r>
              <w:rPr>
                <w:b w:val="0"/>
                <w:color w:val="17212D"/>
                <w:sz w:val="18"/>
              </w:rPr>
              <w:t>PR-AUC</w:t>
            </w:r>
          </w:p>
        </w:tc>
        <w:tc>
          <w:tcPr>
            <w:tcW w:type="dxa" w:w="6048"/>
            <w:shd w:val="clear" w:color="auto" w:fill="F3EDE3"/>
            <w:vAlign w:val="center"/>
          </w:tcPr>
          <w:p>
            <w:pPr>
              <w:spacing w:before="40" w:after="40"/>
            </w:pPr>
            <w:r>
              <w:rPr>
                <w:b w:val="0"/>
                <w:color w:val="17212D"/>
                <w:sz w:val="18"/>
              </w:rPr>
              <w:t>0.962</w:t>
            </w:r>
          </w:p>
        </w:tc>
      </w:tr>
      <w:tr>
        <w:tc>
          <w:tcPr>
            <w:tcW w:type="dxa" w:w="4032"/>
            <w:shd w:val="clear" w:color="auto" w:fill="FFFFFF"/>
            <w:vAlign w:val="center"/>
          </w:tcPr>
          <w:p>
            <w:pPr>
              <w:spacing w:before="40" w:after="40"/>
            </w:pPr>
            <w:r>
              <w:rPr>
                <w:b w:val="0"/>
                <w:color w:val="17212D"/>
                <w:sz w:val="18"/>
              </w:rPr>
              <w:t>Brier score</w:t>
            </w:r>
          </w:p>
        </w:tc>
        <w:tc>
          <w:tcPr>
            <w:tcW w:type="dxa" w:w="6048"/>
            <w:shd w:val="clear" w:color="auto" w:fill="FFFFFF"/>
            <w:vAlign w:val="center"/>
          </w:tcPr>
          <w:p>
            <w:pPr>
              <w:spacing w:before="40" w:after="40"/>
            </w:pPr>
            <w:r>
              <w:rPr>
                <w:b w:val="0"/>
                <w:color w:val="17212D"/>
                <w:sz w:val="18"/>
              </w:rPr>
              <w:t>0.182</w:t>
            </w:r>
          </w:p>
        </w:tc>
      </w:tr>
      <w:tr>
        <w:tc>
          <w:tcPr>
            <w:tcW w:type="dxa" w:w="4032"/>
            <w:shd w:val="clear" w:color="auto" w:fill="F3EDE3"/>
            <w:vAlign w:val="center"/>
          </w:tcPr>
          <w:p>
            <w:pPr>
              <w:spacing w:before="40" w:after="40"/>
            </w:pPr>
            <w:r>
              <w:rPr>
                <w:b w:val="0"/>
                <w:color w:val="17212D"/>
                <w:sz w:val="18"/>
              </w:rPr>
              <w:t>KS statistic</w:t>
            </w:r>
          </w:p>
        </w:tc>
        <w:tc>
          <w:tcPr>
            <w:tcW w:type="dxa" w:w="6048"/>
            <w:shd w:val="clear" w:color="auto" w:fill="F3EDE3"/>
            <w:vAlign w:val="center"/>
          </w:tcPr>
          <w:p>
            <w:pPr>
              <w:spacing w:before="40" w:after="40"/>
            </w:pPr>
            <w:r>
              <w:rPr>
                <w:b w:val="0"/>
                <w:color w:val="17212D"/>
                <w:sz w:val="18"/>
              </w:rPr>
              <w:t>0.378</w:t>
            </w:r>
          </w:p>
        </w:tc>
      </w:tr>
      <w:tr>
        <w:tc>
          <w:tcPr>
            <w:tcW w:type="dxa" w:w="4032"/>
            <w:shd w:val="clear" w:color="auto" w:fill="FFFFFF"/>
            <w:vAlign w:val="center"/>
          </w:tcPr>
          <w:p>
            <w:pPr>
              <w:spacing w:before="40" w:after="40"/>
            </w:pPr>
            <w:r>
              <w:rPr>
                <w:b w:val="0"/>
                <w:color w:val="17212D"/>
                <w:sz w:val="18"/>
              </w:rPr>
              <w:t>Lift @ top 10%</w:t>
            </w:r>
          </w:p>
        </w:tc>
        <w:tc>
          <w:tcPr>
            <w:tcW w:type="dxa" w:w="6048"/>
            <w:shd w:val="clear" w:color="auto" w:fill="FFFFFF"/>
            <w:vAlign w:val="center"/>
          </w:tcPr>
          <w:p>
            <w:pPr>
              <w:spacing w:before="40" w:after="40"/>
            </w:pPr>
            <w:r>
              <w:rPr>
                <w:b w:val="0"/>
                <w:color w:val="17212D"/>
                <w:sz w:val="18"/>
              </w:rPr>
              <w:t>1.09×</w:t>
            </w:r>
          </w:p>
        </w:tc>
      </w:tr>
      <w:tr>
        <w:tc>
          <w:tcPr>
            <w:tcW w:type="dxa" w:w="4032"/>
            <w:shd w:val="clear" w:color="auto" w:fill="F3EDE3"/>
            <w:vAlign w:val="center"/>
          </w:tcPr>
          <w:p>
            <w:pPr>
              <w:spacing w:before="40" w:after="40"/>
            </w:pPr>
            <w:r>
              <w:rPr>
                <w:b w:val="0"/>
                <w:color w:val="17212D"/>
                <w:sz w:val="18"/>
              </w:rPr>
              <w:t>Top decile precision</w:t>
            </w:r>
          </w:p>
        </w:tc>
        <w:tc>
          <w:tcPr>
            <w:tcW w:type="dxa" w:w="6048"/>
            <w:shd w:val="clear" w:color="auto" w:fill="F3EDE3"/>
            <w:vAlign w:val="center"/>
          </w:tcPr>
          <w:p>
            <w:pPr>
              <w:spacing w:before="40" w:after="40"/>
            </w:pPr>
            <w:r>
              <w:rPr>
                <w:b w:val="0"/>
                <w:color w:val="17212D"/>
                <w:sz w:val="18"/>
              </w:rPr>
              <w:t>98.6%</w:t>
            </w:r>
          </w:p>
        </w:tc>
      </w:tr>
    </w:tbl>
    <w:p/>
    <w:p>
      <w:pPr>
        <w:spacing w:before="440" w:after="120"/>
      </w:pPr>
      <w:r>
        <w:rPr>
          <w:b/>
          <w:color w:val="BA4B26"/>
          <w:sz w:val="40"/>
        </w:rPr>
        <w:t>2. End-to-End Flow: CSV Import → Score</w:t>
      </w:r>
    </w:p>
    <w:p>
      <w:pPr>
        <w:spacing w:before="40" w:after="80"/>
      </w:pPr>
      <w:r>
        <w:rPr>
          <w:i w:val="0"/>
          <w:color w:val="17212D"/>
          <w:sz w:val="20"/>
        </w:rPr>
        <w:t>When a CSV is uploaded via the portal, the following steps execute in order for every lead row:</w:t>
      </w:r>
    </w:p>
    <w:p>
      <w:pPr>
        <w:pStyle w:val="ListBullet"/>
        <w:spacing w:before="20" w:after="40"/>
        <w:ind w:left="360"/>
      </w:pPr>
      <w:r>
        <w:rPr>
          <w:b/>
          <w:color w:val="17212D"/>
          <w:sz w:val="20"/>
        </w:rPr>
        <w:t xml:space="preserve">Step 1 — Header mapping: </w:t>
      </w:r>
      <w:r>
        <w:rPr>
          <w:color w:val="17212D"/>
          <w:sz w:val="20"/>
        </w:rPr>
      </w:r>
    </w:p>
    <w:p>
      <w:pPr>
        <w:spacing w:before="0" w:after="100"/>
        <w:ind w:left="720"/>
      </w:pPr>
      <w:r>
        <w:rPr>
          <w:color w:val="5B6777"/>
          <w:sz w:val="18"/>
        </w:rPr>
        <w:t>ingest.py maps CSV column names to canonical field names using HEADER_ALIASES. 50+ aliases are supported (e.g. 'Company', 'Employer', 'Organization' → company_name). Missing required fields cause a row-level warning; missing optional fields default to None.</w:t>
      </w:r>
    </w:p>
    <w:p>
      <w:pPr>
        <w:pStyle w:val="ListBullet"/>
        <w:spacing w:before="20" w:after="40"/>
        <w:ind w:left="360"/>
      </w:pPr>
      <w:r>
        <w:rPr>
          <w:b/>
          <w:color w:val="17212D"/>
          <w:sz w:val="20"/>
        </w:rPr>
        <w:t xml:space="preserve">Step 2 — Engagement event construction: </w:t>
      </w:r>
      <w:r>
        <w:rPr>
          <w:color w:val="17212D"/>
          <w:sz w:val="20"/>
        </w:rPr>
      </w:r>
    </w:p>
    <w:p>
      <w:pPr>
        <w:spacing w:before="0" w:after="100"/>
        <w:ind w:left="720"/>
      </w:pPr>
      <w:r>
        <w:rPr>
          <w:color w:val="5B6777"/>
          <w:sz w:val="18"/>
        </w:rPr>
        <w:t>If the CSV contains engagement columns (email1_opened, email1_clicked, email2_opened, email2_clicked, download_count, visit_count), they are converted into timestamped EngagementEvent objects backdated from submitted_at. Example: email1_opened=1 creates an 'open' event at submitted_at − 6 days. Multiple counts create multiple events.</w:t>
      </w:r>
    </w:p>
    <w:p>
      <w:pPr>
        <w:pStyle w:val="ListBullet"/>
        <w:spacing w:before="20" w:after="40"/>
        <w:ind w:left="360"/>
      </w:pPr>
      <w:r>
        <w:rPr>
          <w:b/>
          <w:color w:val="17212D"/>
          <w:sz w:val="20"/>
        </w:rPr>
        <w:t xml:space="preserve">Step 3 — LeadRecord assembly: </w:t>
      </w:r>
      <w:r>
        <w:rPr>
          <w:color w:val="17212D"/>
          <w:sz w:val="20"/>
        </w:rPr>
      </w:r>
    </w:p>
    <w:p>
      <w:pPr>
        <w:spacing w:before="0" w:after="100"/>
        <w:ind w:left="720"/>
      </w:pPr>
      <w:r>
        <w:rPr>
          <w:color w:val="5B6777"/>
          <w:sz w:val="18"/>
        </w:rPr>
        <w:t>Each row is packed into a LeadRecord containing: ContactPayload, CompanyPayload, CampaignContext (from the operator form), PartnerSignals, AccountSignals, and the list of EngagementEvents constructed in Step 2.</w:t>
      </w:r>
    </w:p>
    <w:p>
      <w:pPr>
        <w:pStyle w:val="ListBullet"/>
        <w:spacing w:before="20" w:after="40"/>
        <w:ind w:left="360"/>
      </w:pPr>
      <w:r>
        <w:rPr>
          <w:b/>
          <w:color w:val="17212D"/>
          <w:sz w:val="20"/>
        </w:rPr>
        <w:t xml:space="preserve">Step 4 — Title normalisation: </w:t>
      </w:r>
      <w:r>
        <w:rPr>
          <w:color w:val="17212D"/>
          <w:sz w:val="20"/>
        </w:rPr>
      </w:r>
    </w:p>
    <w:p>
      <w:pPr>
        <w:spacing w:before="0" w:after="100"/>
        <w:ind w:left="720"/>
      </w:pPr>
      <w:r>
        <w:rPr>
          <w:color w:val="5B6777"/>
          <w:sz w:val="18"/>
        </w:rPr>
        <w:t>TitleNormalizer reads job_title and extracts seniority (executive/vp/director/manager/practitioner/unknown) and job_function (finance/it/operations/marketing/sales/clinical/line_of_business) using keyword rules from platform_config.yaml. If keyword matching fails, TF-IDF cosine similarity against prototype titles is used as fallback. Authority score is assigned: executive=95, vp=85, director=72, manager=58, practitioner=42, unknown=35.</w:t>
      </w:r>
    </w:p>
    <w:p>
      <w:pPr>
        <w:pStyle w:val="ListBullet"/>
        <w:spacing w:before="20" w:after="40"/>
        <w:ind w:left="360"/>
      </w:pPr>
      <w:r>
        <w:rPr>
          <w:b/>
          <w:color w:val="17212D"/>
          <w:sz w:val="20"/>
        </w:rPr>
        <w:t xml:space="preserve">Step 5 — Asset classification: </w:t>
      </w:r>
      <w:r>
        <w:rPr>
          <w:color w:val="17212D"/>
          <w:sz w:val="20"/>
        </w:rPr>
      </w:r>
    </w:p>
    <w:p>
      <w:pPr>
        <w:spacing w:before="0" w:after="100"/>
        <w:ind w:left="720"/>
      </w:pPr>
      <w:r>
        <w:rPr>
          <w:color w:val="5B6777"/>
          <w:sz w:val="18"/>
        </w:rPr>
        <w:t>AssetClassifier reads the asset_name and campaign taxonomy to assign: funnel stage (TOFU/MOFU/BOFU), content type, vertical, and stage_weight. If asset_stage_override is set in the form, it overrides keyword inference. Stage weights: TOFU=1.0, MOFU=2.0, BOFU=4.5.</w:t>
      </w:r>
    </w:p>
    <w:p>
      <w:pPr>
        <w:pStyle w:val="ListBullet"/>
        <w:spacing w:before="20" w:after="40"/>
        <w:ind w:left="360"/>
      </w:pPr>
      <w:r>
        <w:rPr>
          <w:b/>
          <w:color w:val="17212D"/>
          <w:sz w:val="20"/>
        </w:rPr>
        <w:t xml:space="preserve">Step 6 — Campaign mode inference: </w:t>
      </w:r>
      <w:r>
        <w:rPr>
          <w:color w:val="17212D"/>
          <w:sz w:val="20"/>
        </w:rPr>
      </w:r>
    </w:p>
    <w:p>
      <w:pPr>
        <w:spacing w:before="0" w:after="100"/>
        <w:ind w:left="720"/>
      </w:pPr>
      <w:r>
        <w:rPr>
          <w:color w:val="5B6777"/>
          <w:sz w:val="18"/>
        </w:rPr>
        <w:t>CampaignModeInferrer scores TOFU/MOFU/BOFU against five taxonomy tags (asset_type, topic, audience, volume, sequence). The asset stage gets a 1.5 bonus. Highest score wins.</w:t>
      </w:r>
    </w:p>
    <w:p>
      <w:pPr>
        <w:pStyle w:val="ListBullet"/>
        <w:spacing w:before="20" w:after="40"/>
        <w:ind w:left="360"/>
      </w:pPr>
      <w:r>
        <w:rPr>
          <w:b/>
          <w:color w:val="17212D"/>
          <w:sz w:val="20"/>
        </w:rPr>
        <w:t xml:space="preserve">Step 7 — Brief parsing: </w:t>
      </w:r>
      <w:r>
        <w:rPr>
          <w:color w:val="17212D"/>
          <w:sz w:val="20"/>
        </w:rPr>
      </w:r>
    </w:p>
    <w:p>
      <w:pPr>
        <w:spacing w:before="0" w:after="100"/>
        <w:ind w:left="720"/>
      </w:pPr>
      <w:r>
        <w:rPr>
          <w:color w:val="5B6777"/>
          <w:sz w:val="18"/>
        </w:rPr>
        <w:t>CampaignBriefParser extracts a TargetProfile from the brief_text field: target industries, geographies, company sizes, job functions, seniorities, and required personas.</w:t>
      </w:r>
    </w:p>
    <w:p>
      <w:pPr>
        <w:pStyle w:val="ListBullet"/>
        <w:spacing w:before="20" w:after="40"/>
        <w:ind w:left="360"/>
      </w:pPr>
      <w:r>
        <w:rPr>
          <w:b/>
          <w:color w:val="17212D"/>
          <w:sz w:val="20"/>
        </w:rPr>
        <w:t xml:space="preserve">Step 8 — Buying group assembly (Layer 2): </w:t>
      </w:r>
      <w:r>
        <w:rPr>
          <w:color w:val="17212D"/>
          <w:sz w:val="20"/>
        </w:rPr>
      </w:r>
    </w:p>
    <w:p>
      <w:pPr>
        <w:spacing w:before="0" w:after="100"/>
        <w:ind w:left="720"/>
      </w:pPr>
      <w:r>
        <w:rPr>
          <w:color w:val="5B6777"/>
          <w:sz w:val="18"/>
        </w:rPr>
        <w:t>Persisted personas from prior scored leads at the same account domain are loaded from the audit DB. The current lead is added as a persona. Unique personas are deduped by email. Buying group score, completeness, and BDR trigger are computed.</w:t>
      </w:r>
    </w:p>
    <w:p>
      <w:pPr>
        <w:pStyle w:val="ListBullet"/>
        <w:spacing w:before="20" w:after="40"/>
        <w:ind w:left="360"/>
      </w:pPr>
      <w:r>
        <w:rPr>
          <w:b/>
          <w:color w:val="17212D"/>
          <w:sz w:val="20"/>
        </w:rPr>
        <w:t xml:space="preserve">Step 9 — Feature vector construction: </w:t>
      </w:r>
      <w:r>
        <w:rPr>
          <w:color w:val="17212D"/>
          <w:sz w:val="20"/>
        </w:rPr>
      </w:r>
    </w:p>
    <w:p>
      <w:pPr>
        <w:spacing w:before="0" w:after="100"/>
        <w:ind w:left="720"/>
      </w:pPr>
      <w:r>
        <w:rPr>
          <w:color w:val="5B6777"/>
          <w:sz w:val="18"/>
        </w:rPr>
        <w:t>14 features are derived and assembled into a vector (see Section 4).</w:t>
      </w:r>
    </w:p>
    <w:p>
      <w:pPr>
        <w:pStyle w:val="ListBullet"/>
        <w:spacing w:before="20" w:after="40"/>
        <w:ind w:left="360"/>
      </w:pPr>
      <w:r>
        <w:rPr>
          <w:b/>
          <w:color w:val="17212D"/>
          <w:sz w:val="20"/>
        </w:rPr>
        <w:t xml:space="preserve">Step 10 — ML scoring (current runtime): </w:t>
      </w:r>
      <w:r>
        <w:rPr>
          <w:color w:val="17212D"/>
          <w:sz w:val="20"/>
        </w:rPr>
      </w:r>
    </w:p>
    <w:p>
      <w:pPr>
        <w:spacing w:before="0" w:after="100"/>
        <w:ind w:left="720"/>
      </w:pPr>
      <w:r>
        <w:rPr>
          <w:color w:val="5B6777"/>
          <w:sz w:val="18"/>
        </w:rPr>
        <w:t>The LightGBM model calls predict_proba(vector)[0][1] and multiplies by 100. This is the raw approval_score before thresholding.</w:t>
      </w:r>
    </w:p>
    <w:p>
      <w:pPr>
        <w:pStyle w:val="ListBullet"/>
        <w:spacing w:before="20" w:after="40"/>
        <w:ind w:left="360"/>
      </w:pPr>
      <w:r>
        <w:rPr>
          <w:b/>
          <w:color w:val="17212D"/>
          <w:sz w:val="20"/>
        </w:rPr>
        <w:t xml:space="preserve">Step 11 — Decision thresholds: </w:t>
      </w:r>
      <w:r>
        <w:rPr>
          <w:color w:val="17212D"/>
          <w:sz w:val="20"/>
        </w:rPr>
      </w:r>
    </w:p>
    <w:p>
      <w:pPr>
        <w:spacing w:before="0" w:after="100"/>
        <w:ind w:left="720"/>
      </w:pPr>
      <w:r>
        <w:rPr>
          <w:color w:val="5B6777"/>
          <w:sz w:val="18"/>
        </w:rPr>
        <w:t>approval_score ≥ 68 → DELIVER. ≥ 50 → REVIEW. &lt; 50 → HOLD. approval_score ≥ 55 → predicted_outcome = approved. &lt; 55 → rejected.</w:t>
      </w:r>
    </w:p>
    <w:p>
      <w:pPr>
        <w:pStyle w:val="ListBullet"/>
        <w:spacing w:before="20" w:after="40"/>
        <w:ind w:left="360"/>
      </w:pPr>
      <w:r>
        <w:rPr>
          <w:b/>
          <w:color w:val="17212D"/>
          <w:sz w:val="20"/>
        </w:rPr>
        <w:t xml:space="preserve">Step 12 — Audit persistence: </w:t>
      </w:r>
      <w:r>
        <w:rPr>
          <w:color w:val="17212D"/>
          <w:sz w:val="20"/>
        </w:rPr>
      </w:r>
    </w:p>
    <w:p>
      <w:pPr>
        <w:spacing w:before="0" w:after="100"/>
        <w:ind w:left="720"/>
      </w:pPr>
      <w:r>
        <w:rPr>
          <w:color w:val="5B6777"/>
          <w:sz w:val="18"/>
        </w:rPr>
        <w:t>A ScoreAuditRecord is written to the SQLite DB with the full request JSON, response JSON, feature vector, and top reasons. This is the ground truth for every decision made.</w:t>
      </w:r>
    </w:p>
    <w:p>
      <w:pPr>
        <w:spacing w:before="440" w:after="120"/>
      </w:pPr>
      <w:r>
        <w:rPr>
          <w:b/>
          <w:color w:val="BA4B26"/>
          <w:sz w:val="40"/>
        </w:rPr>
        <w:t>3. What Is Factual vs Assumed</w:t>
      </w:r>
    </w:p>
    <w:p>
      <w:pPr>
        <w:spacing w:before="40" w:after="80"/>
      </w:pPr>
      <w:r>
        <w:rPr>
          <w:i w:val="0"/>
          <w:color w:val="17212D"/>
          <w:sz w:val="20"/>
        </w:rPr>
        <w:t>This is the most important question for data integrity. The table below classifies every scoring input by its provenance. 'Factual' means derived directly from lead or engagement data. 'Operator form default' means a static number entered in the campaign context form — it applies identically to every lead in the batch. 'Defaulted' means the code falls back to 0.5 (neutral) when no value is present.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160"/>
            <w:vAlign w:val="center"/>
            <w:shd w:val="clear" w:color="auto" w:fill="17212D"/>
          </w:tcPr>
          <w:p>
            <w:pPr>
              <w:spacing w:before="60" w:after="60"/>
            </w:pPr>
            <w:r>
              <w:rPr>
                <w:b/>
                <w:color w:val="FFFFFF"/>
                <w:sz w:val="18"/>
              </w:rPr>
              <w:t>Scoring Input</w:t>
            </w:r>
          </w:p>
        </w:tc>
        <w:tc>
          <w:tcPr>
            <w:tcW w:type="dxa" w:w="1008"/>
            <w:vAlign w:val="center"/>
            <w:shd w:val="clear" w:color="auto" w:fill="17212D"/>
          </w:tcPr>
          <w:p>
            <w:pPr>
              <w:spacing w:before="60" w:after="60"/>
            </w:pPr>
            <w:r>
              <w:rPr>
                <w:b/>
                <w:color w:val="FFFFFF"/>
                <w:sz w:val="18"/>
              </w:rPr>
              <w:t>Weight</w:t>
            </w:r>
          </w:p>
        </w:tc>
        <w:tc>
          <w:tcPr>
            <w:tcW w:type="dxa" w:w="3168"/>
            <w:vAlign w:val="center"/>
            <w:shd w:val="clear" w:color="auto" w:fill="17212D"/>
          </w:tcPr>
          <w:p>
            <w:pPr>
              <w:spacing w:before="60" w:after="60"/>
            </w:pPr>
            <w:r>
              <w:rPr>
                <w:b/>
                <w:color w:val="FFFFFF"/>
                <w:sz w:val="18"/>
              </w:rPr>
              <w:t>Source</w:t>
            </w:r>
          </w:p>
        </w:tc>
        <w:tc>
          <w:tcPr>
            <w:tcW w:type="dxa" w:w="2160"/>
            <w:vAlign w:val="center"/>
            <w:shd w:val="clear" w:color="auto" w:fill="17212D"/>
          </w:tcPr>
          <w:p>
            <w:pPr>
              <w:spacing w:before="60" w:after="60"/>
            </w:pPr>
            <w:r>
              <w:rPr>
                <w:b/>
                <w:color w:val="FFFFFF"/>
                <w:sz w:val="18"/>
              </w:rPr>
              <w:t>Status</w:t>
            </w:r>
          </w:p>
        </w:tc>
        <w:tc>
          <w:tcPr>
            <w:tcW w:type="dxa" w:w="2304"/>
            <w:vAlign w:val="center"/>
            <w:shd w:val="clear" w:color="auto" w:fill="17212D"/>
          </w:tcPr>
          <w:p>
            <w:pPr>
              <w:spacing w:before="60" w:after="60"/>
            </w:pPr>
            <w:r>
              <w:rPr>
                <w:b/>
                <w:color w:val="FFFFFF"/>
                <w:sz w:val="18"/>
              </w:rPr>
              <w:t>Risk</w:t>
            </w:r>
          </w:p>
        </w:tc>
      </w:tr>
      <w:tr>
        <w:tc>
          <w:tcPr>
            <w:tcW w:type="dxa" w:w="2160"/>
            <w:shd w:val="clear" w:color="auto" w:fill="F3EDE3"/>
            <w:vAlign w:val="center"/>
          </w:tcPr>
          <w:p>
            <w:pPr>
              <w:spacing w:before="40" w:after="40"/>
            </w:pPr>
            <w:r>
              <w:rPr>
                <w:b w:val="0"/>
                <w:color w:val="17212D"/>
                <w:sz w:val="18"/>
              </w:rPr>
              <w:t>Fit score</w:t>
            </w:r>
          </w:p>
        </w:tc>
        <w:tc>
          <w:tcPr>
            <w:tcW w:type="dxa" w:w="1008"/>
            <w:shd w:val="clear" w:color="auto" w:fill="F3EDE3"/>
            <w:vAlign w:val="center"/>
          </w:tcPr>
          <w:p>
            <w:pPr>
              <w:spacing w:before="40" w:after="40"/>
            </w:pPr>
            <w:r>
              <w:rPr>
                <w:b w:val="0"/>
                <w:color w:val="17212D"/>
                <w:sz w:val="18"/>
              </w:rPr>
              <w:t>28%</w:t>
            </w:r>
          </w:p>
        </w:tc>
        <w:tc>
          <w:tcPr>
            <w:tcW w:type="dxa" w:w="3168"/>
            <w:shd w:val="clear" w:color="auto" w:fill="F3EDE3"/>
            <w:vAlign w:val="center"/>
          </w:tcPr>
          <w:p>
            <w:pPr>
              <w:spacing w:before="40" w:after="40"/>
            </w:pPr>
            <w:r>
              <w:rPr>
                <w:b w:val="0"/>
                <w:color w:val="17212D"/>
                <w:sz w:val="18"/>
              </w:rPr>
              <w:t>Job title + firmographics vs ICP brief</w:t>
            </w:r>
          </w:p>
        </w:tc>
        <w:tc>
          <w:tcPr>
            <w:tcW w:type="dxa" w:w="2160"/>
            <w:shd w:val="clear" w:color="auto" w:fill="F3EDE3"/>
            <w:vAlign w:val="center"/>
          </w:tcPr>
          <w:p>
            <w:pPr>
              <w:spacing w:before="40" w:after="40"/>
            </w:pPr>
            <w:r>
              <w:rPr>
                <w:b/>
                <w:color w:val="0F7A6B"/>
                <w:sz w:val="18"/>
              </w:rPr>
              <w:t>Factual — per lead</w:t>
            </w:r>
          </w:p>
        </w:tc>
        <w:tc>
          <w:tcPr>
            <w:tcW w:type="dxa" w:w="2304"/>
            <w:shd w:val="clear" w:color="auto" w:fill="F3EDE3"/>
            <w:vAlign w:val="center"/>
          </w:tcPr>
          <w:p>
            <w:pPr>
              <w:spacing w:before="40" w:after="40"/>
            </w:pPr>
            <w:r>
              <w:rPr>
                <w:b w:val="0"/>
                <w:color w:val="17212D"/>
                <w:sz w:val="18"/>
              </w:rPr>
              <w:t>Low — derived from actual lead data</w:t>
            </w:r>
          </w:p>
        </w:tc>
      </w:tr>
      <w:tr>
        <w:tc>
          <w:tcPr>
            <w:tcW w:type="dxa" w:w="2160"/>
            <w:shd w:val="clear" w:color="auto" w:fill="FFFFFF"/>
            <w:vAlign w:val="center"/>
          </w:tcPr>
          <w:p>
            <w:pPr>
              <w:spacing w:before="40" w:after="40"/>
            </w:pPr>
            <w:r>
              <w:rPr>
                <w:b w:val="0"/>
                <w:color w:val="17212D"/>
                <w:sz w:val="18"/>
              </w:rPr>
              <w:t>Intent score</w:t>
            </w:r>
          </w:p>
        </w:tc>
        <w:tc>
          <w:tcPr>
            <w:tcW w:type="dxa" w:w="1008"/>
            <w:shd w:val="clear" w:color="auto" w:fill="FFFFFF"/>
            <w:vAlign w:val="center"/>
          </w:tcPr>
          <w:p>
            <w:pPr>
              <w:spacing w:before="40" w:after="40"/>
            </w:pPr>
            <w:r>
              <w:rPr>
                <w:b w:val="0"/>
                <w:color w:val="17212D"/>
                <w:sz w:val="18"/>
              </w:rPr>
              <w:t>22%</w:t>
            </w:r>
          </w:p>
        </w:tc>
        <w:tc>
          <w:tcPr>
            <w:tcW w:type="dxa" w:w="3168"/>
            <w:shd w:val="clear" w:color="auto" w:fill="FFFFFF"/>
            <w:vAlign w:val="center"/>
          </w:tcPr>
          <w:p>
            <w:pPr>
              <w:spacing w:before="40" w:after="40"/>
            </w:pPr>
            <w:r>
              <w:rPr>
                <w:b w:val="0"/>
                <w:color w:val="17212D"/>
                <w:sz w:val="18"/>
              </w:rPr>
              <w:t>Email opens, clicks, downloads, visits</w:t>
            </w:r>
          </w:p>
        </w:tc>
        <w:tc>
          <w:tcPr>
            <w:tcW w:type="dxa" w:w="2160"/>
            <w:shd w:val="clear" w:color="auto" w:fill="FFFFFF"/>
            <w:vAlign w:val="center"/>
          </w:tcPr>
          <w:p>
            <w:pPr>
              <w:spacing w:before="40" w:after="40"/>
            </w:pPr>
            <w:r>
              <w:rPr>
                <w:b/>
                <w:color w:val="C78A2C"/>
                <w:sz w:val="18"/>
              </w:rPr>
              <w:t>Factual if engagement cols present; 0 if absent</w:t>
            </w:r>
          </w:p>
        </w:tc>
        <w:tc>
          <w:tcPr>
            <w:tcW w:type="dxa" w:w="2304"/>
            <w:shd w:val="clear" w:color="auto" w:fill="FFFFFF"/>
            <w:vAlign w:val="center"/>
          </w:tcPr>
          <w:p>
            <w:pPr>
              <w:spacing w:before="40" w:after="40"/>
            </w:pPr>
            <w:r>
              <w:rPr>
                <w:b w:val="0"/>
                <w:color w:val="17212D"/>
                <w:sz w:val="18"/>
              </w:rPr>
              <w:t>High — 0 when no engagement data in CSV</w:t>
            </w:r>
          </w:p>
        </w:tc>
      </w:tr>
      <w:tr>
        <w:tc>
          <w:tcPr>
            <w:tcW w:type="dxa" w:w="2160"/>
            <w:shd w:val="clear" w:color="auto" w:fill="F3EDE3"/>
            <w:vAlign w:val="center"/>
          </w:tcPr>
          <w:p>
            <w:pPr>
              <w:spacing w:before="40" w:after="40"/>
            </w:pPr>
            <w:r>
              <w:rPr>
                <w:b w:val="0"/>
                <w:color w:val="17212D"/>
                <w:sz w:val="18"/>
              </w:rPr>
              <w:t>Data quality score</w:t>
            </w:r>
          </w:p>
        </w:tc>
        <w:tc>
          <w:tcPr>
            <w:tcW w:type="dxa" w:w="1008"/>
            <w:shd w:val="clear" w:color="auto" w:fill="F3EDE3"/>
            <w:vAlign w:val="center"/>
          </w:tcPr>
          <w:p>
            <w:pPr>
              <w:spacing w:before="40" w:after="40"/>
            </w:pPr>
            <w:r>
              <w:rPr>
                <w:b w:val="0"/>
                <w:color w:val="17212D"/>
                <w:sz w:val="18"/>
              </w:rPr>
              <w:t>8%</w:t>
            </w:r>
          </w:p>
        </w:tc>
        <w:tc>
          <w:tcPr>
            <w:tcW w:type="dxa" w:w="3168"/>
            <w:shd w:val="clear" w:color="auto" w:fill="F3EDE3"/>
            <w:vAlign w:val="center"/>
          </w:tcPr>
          <w:p>
            <w:pPr>
              <w:spacing w:before="40" w:after="40"/>
            </w:pPr>
            <w:r>
              <w:rPr>
                <w:b w:val="0"/>
                <w:color w:val="17212D"/>
                <w:sz w:val="18"/>
              </w:rPr>
              <w:t>Email domain, title, company size, geography</w:t>
            </w:r>
          </w:p>
        </w:tc>
        <w:tc>
          <w:tcPr>
            <w:tcW w:type="dxa" w:w="2160"/>
            <w:shd w:val="clear" w:color="auto" w:fill="F3EDE3"/>
            <w:vAlign w:val="center"/>
          </w:tcPr>
          <w:p>
            <w:pPr>
              <w:spacing w:before="40" w:after="40"/>
            </w:pPr>
            <w:r>
              <w:rPr>
                <w:b/>
                <w:color w:val="0F7A6B"/>
                <w:sz w:val="18"/>
              </w:rPr>
              <w:t>Factual — per lead</w:t>
            </w:r>
          </w:p>
        </w:tc>
        <w:tc>
          <w:tcPr>
            <w:tcW w:type="dxa" w:w="2304"/>
            <w:shd w:val="clear" w:color="auto" w:fill="F3EDE3"/>
            <w:vAlign w:val="center"/>
          </w:tcPr>
          <w:p>
            <w:pPr>
              <w:spacing w:before="40" w:after="40"/>
            </w:pPr>
            <w:r>
              <w:rPr>
                <w:b w:val="0"/>
                <w:color w:val="17212D"/>
                <w:sz w:val="18"/>
              </w:rPr>
              <w:t>Low — direct field inspection</w:t>
            </w:r>
          </w:p>
        </w:tc>
      </w:tr>
      <w:tr>
        <w:tc>
          <w:tcPr>
            <w:tcW w:type="dxa" w:w="2160"/>
            <w:shd w:val="clear" w:color="auto" w:fill="FFFFFF"/>
            <w:vAlign w:val="center"/>
          </w:tcPr>
          <w:p>
            <w:pPr>
              <w:spacing w:before="40" w:after="40"/>
            </w:pPr>
            <w:r>
              <w:rPr>
                <w:b w:val="0"/>
                <w:color w:val="17212D"/>
                <w:sz w:val="18"/>
              </w:rPr>
              <w:t>ICP match score</w:t>
            </w:r>
          </w:p>
        </w:tc>
        <w:tc>
          <w:tcPr>
            <w:tcW w:type="dxa" w:w="1008"/>
            <w:shd w:val="clear" w:color="auto" w:fill="FFFFFF"/>
            <w:vAlign w:val="center"/>
          </w:tcPr>
          <w:p>
            <w:pPr>
              <w:spacing w:before="40" w:after="40"/>
            </w:pPr>
            <w:r>
              <w:rPr>
                <w:b w:val="0"/>
                <w:color w:val="17212D"/>
                <w:sz w:val="18"/>
              </w:rPr>
              <w:t>6%</w:t>
            </w:r>
          </w:p>
        </w:tc>
        <w:tc>
          <w:tcPr>
            <w:tcW w:type="dxa" w:w="3168"/>
            <w:shd w:val="clear" w:color="auto" w:fill="FFFFFF"/>
            <w:vAlign w:val="center"/>
          </w:tcPr>
          <w:p>
            <w:pPr>
              <w:spacing w:before="40" w:after="40"/>
            </w:pPr>
            <w:r>
              <w:rPr>
                <w:b w:val="0"/>
                <w:color w:val="17212D"/>
                <w:sz w:val="18"/>
              </w:rPr>
              <w:t>Industry/geo/function vs parsed brief</w:t>
            </w:r>
          </w:p>
        </w:tc>
        <w:tc>
          <w:tcPr>
            <w:tcW w:type="dxa" w:w="2160"/>
            <w:shd w:val="clear" w:color="auto" w:fill="FFFFFF"/>
            <w:vAlign w:val="center"/>
          </w:tcPr>
          <w:p>
            <w:pPr>
              <w:spacing w:before="40" w:after="40"/>
            </w:pPr>
            <w:r>
              <w:rPr>
                <w:b/>
                <w:color w:val="0F7A6B"/>
                <w:sz w:val="18"/>
              </w:rPr>
              <w:t>Factual — per lead</w:t>
            </w:r>
          </w:p>
        </w:tc>
        <w:tc>
          <w:tcPr>
            <w:tcW w:type="dxa" w:w="2304"/>
            <w:shd w:val="clear" w:color="auto" w:fill="FFFFFF"/>
            <w:vAlign w:val="center"/>
          </w:tcPr>
          <w:p>
            <w:pPr>
              <w:spacing w:before="40" w:after="40"/>
            </w:pPr>
            <w:r>
              <w:rPr>
                <w:b w:val="0"/>
                <w:color w:val="17212D"/>
                <w:sz w:val="18"/>
              </w:rPr>
              <w:t>Low — derived from actual lead data</w:t>
            </w:r>
          </w:p>
        </w:tc>
      </w:tr>
      <w:tr>
        <w:tc>
          <w:tcPr>
            <w:tcW w:type="dxa" w:w="2160"/>
            <w:shd w:val="clear" w:color="auto" w:fill="F3EDE3"/>
            <w:vAlign w:val="center"/>
          </w:tcPr>
          <w:p>
            <w:pPr>
              <w:spacing w:before="40" w:after="40"/>
            </w:pPr>
            <w:r>
              <w:rPr>
                <w:b w:val="0"/>
                <w:color w:val="17212D"/>
                <w:sz w:val="18"/>
              </w:rPr>
              <w:t>Partner signal score</w:t>
            </w:r>
          </w:p>
        </w:tc>
        <w:tc>
          <w:tcPr>
            <w:tcW w:type="dxa" w:w="1008"/>
            <w:shd w:val="clear" w:color="auto" w:fill="F3EDE3"/>
            <w:vAlign w:val="center"/>
          </w:tcPr>
          <w:p>
            <w:pPr>
              <w:spacing w:before="40" w:after="40"/>
            </w:pPr>
            <w:r>
              <w:rPr>
                <w:b w:val="0"/>
                <w:color w:val="17212D"/>
                <w:sz w:val="18"/>
              </w:rPr>
              <w:t>18%</w:t>
            </w:r>
          </w:p>
        </w:tc>
        <w:tc>
          <w:tcPr>
            <w:tcW w:type="dxa" w:w="3168"/>
            <w:shd w:val="clear" w:color="auto" w:fill="F3EDE3"/>
            <w:vAlign w:val="center"/>
          </w:tcPr>
          <w:p>
            <w:pPr>
              <w:spacing w:before="40" w:after="40"/>
            </w:pPr>
            <w:r>
              <w:rPr>
                <w:b w:val="0"/>
                <w:color w:val="17212D"/>
                <w:sz w:val="18"/>
              </w:rPr>
              <w:t>approval_rate_6m, client_6m, vertical_6m</w:t>
            </w:r>
          </w:p>
        </w:tc>
        <w:tc>
          <w:tcPr>
            <w:tcW w:type="dxa" w:w="2160"/>
            <w:shd w:val="clear" w:color="auto" w:fill="F3EDE3"/>
            <w:vAlign w:val="center"/>
          </w:tcPr>
          <w:p>
            <w:pPr>
              <w:spacing w:before="40" w:after="40"/>
            </w:pPr>
            <w:r>
              <w:rPr>
                <w:b/>
                <w:color w:val="B63A3A"/>
                <w:sz w:val="18"/>
              </w:rPr>
              <w:t>Operator form default</w:t>
            </w:r>
          </w:p>
        </w:tc>
        <w:tc>
          <w:tcPr>
            <w:tcW w:type="dxa" w:w="2304"/>
            <w:shd w:val="clear" w:color="auto" w:fill="F3EDE3"/>
            <w:vAlign w:val="center"/>
          </w:tcPr>
          <w:p>
            <w:pPr>
              <w:spacing w:before="40" w:after="40"/>
            </w:pPr>
            <w:r>
              <w:rPr>
                <w:b w:val="0"/>
                <w:color w:val="17212D"/>
                <w:sz w:val="18"/>
              </w:rPr>
              <w:t>CRITICAL — same static value for all leads</w:t>
            </w:r>
          </w:p>
        </w:tc>
      </w:tr>
      <w:tr>
        <w:tc>
          <w:tcPr>
            <w:tcW w:type="dxa" w:w="2160"/>
            <w:shd w:val="clear" w:color="auto" w:fill="FFFFFF"/>
            <w:vAlign w:val="center"/>
          </w:tcPr>
          <w:p>
            <w:pPr>
              <w:spacing w:before="40" w:after="40"/>
            </w:pPr>
            <w:r>
              <w:rPr>
                <w:b w:val="0"/>
                <w:color w:val="17212D"/>
                <w:sz w:val="18"/>
              </w:rPr>
              <w:t>Client history score</w:t>
            </w:r>
          </w:p>
        </w:tc>
        <w:tc>
          <w:tcPr>
            <w:tcW w:type="dxa" w:w="1008"/>
            <w:shd w:val="clear" w:color="auto" w:fill="FFFFFF"/>
            <w:vAlign w:val="center"/>
          </w:tcPr>
          <w:p>
            <w:pPr>
              <w:spacing w:before="40" w:after="40"/>
            </w:pPr>
            <w:r>
              <w:rPr>
                <w:b w:val="0"/>
                <w:color w:val="17212D"/>
                <w:sz w:val="18"/>
              </w:rPr>
              <w:t>10%</w:t>
            </w:r>
          </w:p>
        </w:tc>
        <w:tc>
          <w:tcPr>
            <w:tcW w:type="dxa" w:w="3168"/>
            <w:shd w:val="clear" w:color="auto" w:fill="FFFFFF"/>
            <w:vAlign w:val="center"/>
          </w:tcPr>
          <w:p>
            <w:pPr>
              <w:spacing w:before="40" w:after="40"/>
            </w:pPr>
            <w:r>
              <w:rPr>
                <w:b w:val="0"/>
                <w:color w:val="17212D"/>
                <w:sz w:val="18"/>
              </w:rPr>
              <w:t>client_acceptance_rate_6m</w:t>
            </w:r>
          </w:p>
        </w:tc>
        <w:tc>
          <w:tcPr>
            <w:tcW w:type="dxa" w:w="2160"/>
            <w:shd w:val="clear" w:color="auto" w:fill="FFFFFF"/>
            <w:vAlign w:val="center"/>
          </w:tcPr>
          <w:p>
            <w:pPr>
              <w:spacing w:before="40" w:after="40"/>
            </w:pPr>
            <w:r>
              <w:rPr>
                <w:b/>
                <w:color w:val="B63A3A"/>
                <w:sz w:val="18"/>
              </w:rPr>
              <w:t>Operator form default</w:t>
            </w:r>
          </w:p>
        </w:tc>
        <w:tc>
          <w:tcPr>
            <w:tcW w:type="dxa" w:w="2304"/>
            <w:shd w:val="clear" w:color="auto" w:fill="FFFFFF"/>
            <w:vAlign w:val="center"/>
          </w:tcPr>
          <w:p>
            <w:pPr>
              <w:spacing w:before="40" w:after="40"/>
            </w:pPr>
            <w:r>
              <w:rPr>
                <w:b w:val="0"/>
                <w:color w:val="17212D"/>
                <w:sz w:val="18"/>
              </w:rPr>
              <w:t>CRITICAL — same static value for all leads</w:t>
            </w:r>
          </w:p>
        </w:tc>
      </w:tr>
      <w:tr>
        <w:tc>
          <w:tcPr>
            <w:tcW w:type="dxa" w:w="2160"/>
            <w:shd w:val="clear" w:color="auto" w:fill="F3EDE3"/>
            <w:vAlign w:val="center"/>
          </w:tcPr>
          <w:p>
            <w:pPr>
              <w:spacing w:before="40" w:after="40"/>
            </w:pPr>
            <w:r>
              <w:rPr>
                <w:b w:val="0"/>
                <w:color w:val="17212D"/>
                <w:sz w:val="18"/>
              </w:rPr>
              <w:t>Campaign history score</w:t>
            </w:r>
          </w:p>
        </w:tc>
        <w:tc>
          <w:tcPr>
            <w:tcW w:type="dxa" w:w="1008"/>
            <w:shd w:val="clear" w:color="auto" w:fill="F3EDE3"/>
            <w:vAlign w:val="center"/>
          </w:tcPr>
          <w:p>
            <w:pPr>
              <w:spacing w:before="40" w:after="40"/>
            </w:pPr>
            <w:r>
              <w:rPr>
                <w:b w:val="0"/>
                <w:color w:val="17212D"/>
                <w:sz w:val="18"/>
              </w:rPr>
              <w:t>8%</w:t>
            </w:r>
          </w:p>
        </w:tc>
        <w:tc>
          <w:tcPr>
            <w:tcW w:type="dxa" w:w="3168"/>
            <w:shd w:val="clear" w:color="auto" w:fill="F3EDE3"/>
            <w:vAlign w:val="center"/>
          </w:tcPr>
          <w:p>
            <w:pPr>
              <w:spacing w:before="40" w:after="40"/>
            </w:pPr>
            <w:r>
              <w:rPr>
                <w:b w:val="0"/>
                <w:color w:val="17212D"/>
                <w:sz w:val="18"/>
              </w:rPr>
              <w:t>history_approval_rate</w:t>
            </w:r>
          </w:p>
        </w:tc>
        <w:tc>
          <w:tcPr>
            <w:tcW w:type="dxa" w:w="2160"/>
            <w:shd w:val="clear" w:color="auto" w:fill="F3EDE3"/>
            <w:vAlign w:val="center"/>
          </w:tcPr>
          <w:p>
            <w:pPr>
              <w:spacing w:before="40" w:after="40"/>
            </w:pPr>
            <w:r>
              <w:rPr>
                <w:b/>
                <w:color w:val="B63A3A"/>
                <w:sz w:val="18"/>
              </w:rPr>
              <w:t>Operator form default</w:t>
            </w:r>
          </w:p>
        </w:tc>
        <w:tc>
          <w:tcPr>
            <w:tcW w:type="dxa" w:w="2304"/>
            <w:shd w:val="clear" w:color="auto" w:fill="F3EDE3"/>
            <w:vAlign w:val="center"/>
          </w:tcPr>
          <w:p>
            <w:pPr>
              <w:spacing w:before="40" w:after="40"/>
            </w:pPr>
            <w:r>
              <w:rPr>
                <w:b w:val="0"/>
                <w:color w:val="17212D"/>
                <w:sz w:val="18"/>
              </w:rPr>
              <w:t>CRITICAL — same static value for all leads</w:t>
            </w:r>
          </w:p>
        </w:tc>
      </w:tr>
    </w:tbl>
    <w:p/>
    <w:p>
      <w:pPr>
        <w:spacing w:before="40" w:after="80"/>
      </w:pPr>
      <w:r>
        <w:rPr>
          <w:i w:val="0"/>
          <w:color w:val="B63A3A"/>
          <w:sz w:val="20"/>
        </w:rPr>
        <w:t>The three operator-form fields — partner signal, client history, and campaign history — together carry 36% of the final score weight. They are NOT sourced from a database of real historical approval records. They are a single static number entered once per campaign and applied uniformly to every lead. This means two leads from completely different accounts will receive the same partner and history scores.</w:t>
      </w:r>
    </w:p>
    <w:p>
      <w:pPr>
        <w:spacing w:before="320" w:after="80"/>
      </w:pPr>
      <w:r>
        <w:rPr>
          <w:b/>
          <w:color w:val="17212D"/>
          <w:sz w:val="26"/>
        </w:rPr>
        <w:t>Fallback behaviour when form fields are blank</w:t>
      </w:r>
    </w:p>
    <w:p>
      <w:pPr>
        <w:spacing w:before="40" w:after="80"/>
      </w:pPr>
      <w:r>
        <w:rPr>
          <w:i w:val="0"/>
          <w:color w:val="17212D"/>
          <w:sz w:val="20"/>
        </w:rPr>
        <w:t>If partner_signal, client_history, or campaign_history are not supplied (neither in the form nor in the CSV), the engine applies 'or 0.5' — meaning each defaults to 50/100. This is a neutral mask. It does not mean the signal is strong; it means the system has no data and is treating the lead as average. In heuristic mode this would produce a score floor of approximately 50 × 36% = 18 points from those three dimensions alone, even for leads with no real history.</w:t>
      </w:r>
    </w:p>
    <w:p>
      <w:pPr>
        <w:spacing w:before="440" w:after="120"/>
      </w:pPr>
      <w:r>
        <w:rPr>
          <w:b/>
          <w:color w:val="BA4B26"/>
          <w:sz w:val="40"/>
        </w:rPr>
        <w:t>4. The 14-Feature Vector</w:t>
      </w:r>
    </w:p>
    <w:p>
      <w:pPr>
        <w:spacing w:before="40" w:after="80"/>
      </w:pPr>
      <w:r>
        <w:rPr>
          <w:i w:val="0"/>
          <w:color w:val="17212D"/>
          <w:sz w:val="20"/>
        </w:rPr>
        <w:t>Both the ML model and the heuristic fallback consume the same 14 features. All are derived intermediate scores (0–100), never raw signals. This is an architectural limitation noted in the CLAUDE.md: the model never sees raw engagement counts, exact title text, or domain flags. It only sees compressed heuristic scores, which limits how much a GBC or LightGBM can improve over the weighted linear baseline.</w:t>
      </w:r>
    </w:p>
    <w:tbl>
      <w:tblPr>
        <w:tblStyle w:val="TableGrid"/>
        <w:tblW w:type="auto" w:w="0"/>
        <w:tblLook w:firstColumn="1" w:firstRow="1" w:lastColumn="0" w:lastRow="0" w:noHBand="0" w:noVBand="1" w:val="04A0"/>
      </w:tblPr>
      <w:tblGrid>
        <w:gridCol w:w="2268"/>
        <w:gridCol w:w="2268"/>
        <w:gridCol w:w="2268"/>
        <w:gridCol w:w="2268"/>
      </w:tblGrid>
      <w:tr>
        <w:tc>
          <w:tcPr>
            <w:tcW w:type="dxa" w:w="2448"/>
            <w:vAlign w:val="center"/>
            <w:shd w:val="clear" w:color="auto" w:fill="0F7A6B"/>
          </w:tcPr>
          <w:p>
            <w:pPr>
              <w:spacing w:before="60" w:after="60"/>
            </w:pPr>
            <w:r>
              <w:rPr>
                <w:b/>
                <w:color w:val="FFFFFF"/>
                <w:sz w:val="18"/>
              </w:rPr>
              <w:t>Feature</w:t>
            </w:r>
          </w:p>
        </w:tc>
        <w:tc>
          <w:tcPr>
            <w:tcW w:type="dxa" w:w="1008"/>
            <w:vAlign w:val="center"/>
            <w:shd w:val="clear" w:color="auto" w:fill="0F7A6B"/>
          </w:tcPr>
          <w:p>
            <w:pPr>
              <w:spacing w:before="60" w:after="60"/>
            </w:pPr>
            <w:r>
              <w:rPr>
                <w:b/>
                <w:color w:val="FFFFFF"/>
                <w:sz w:val="18"/>
              </w:rPr>
              <w:t>Range</w:t>
            </w:r>
          </w:p>
        </w:tc>
        <w:tc>
          <w:tcPr>
            <w:tcW w:type="dxa" w:w="4320"/>
            <w:vAlign w:val="center"/>
            <w:shd w:val="clear" w:color="auto" w:fill="0F7A6B"/>
          </w:tcPr>
          <w:p>
            <w:pPr>
              <w:spacing w:before="60" w:after="60"/>
            </w:pPr>
            <w:r>
              <w:rPr>
                <w:b/>
                <w:color w:val="FFFFFF"/>
                <w:sz w:val="18"/>
              </w:rPr>
              <w:t>Derived From</w:t>
            </w:r>
          </w:p>
        </w:tc>
        <w:tc>
          <w:tcPr>
            <w:tcW w:type="dxa" w:w="2304"/>
            <w:vAlign w:val="center"/>
            <w:shd w:val="clear" w:color="auto" w:fill="0F7A6B"/>
          </w:tcPr>
          <w:p>
            <w:pPr>
              <w:spacing w:before="60" w:after="60"/>
            </w:pPr>
            <w:r>
              <w:rPr>
                <w:b/>
                <w:color w:val="FFFFFF"/>
                <w:sz w:val="18"/>
              </w:rPr>
              <w:t>Factual?</w:t>
            </w:r>
          </w:p>
        </w:tc>
      </w:tr>
      <w:tr>
        <w:tc>
          <w:tcPr>
            <w:tcW w:type="dxa" w:w="2448"/>
            <w:shd w:val="clear" w:color="auto" w:fill="F3EDE3"/>
            <w:vAlign w:val="center"/>
          </w:tcPr>
          <w:p>
            <w:pPr>
              <w:spacing w:before="40" w:after="40"/>
            </w:pPr>
            <w:r>
              <w:rPr>
                <w:b w:val="0"/>
                <w:color w:val="17212D"/>
                <w:sz w:val="18"/>
              </w:rPr>
              <w:t>authority_score</w:t>
            </w:r>
          </w:p>
        </w:tc>
        <w:tc>
          <w:tcPr>
            <w:tcW w:type="dxa" w:w="1008"/>
            <w:shd w:val="clear" w:color="auto" w:fill="F3EDE3"/>
            <w:vAlign w:val="center"/>
          </w:tcPr>
          <w:p>
            <w:pPr>
              <w:spacing w:before="40" w:after="40"/>
            </w:pPr>
            <w:r>
              <w:rPr>
                <w:b w:val="0"/>
                <w:color w:val="17212D"/>
                <w:sz w:val="18"/>
              </w:rPr>
              <w:t>35–95</w:t>
            </w:r>
          </w:p>
        </w:tc>
        <w:tc>
          <w:tcPr>
            <w:tcW w:type="dxa" w:w="4320"/>
            <w:shd w:val="clear" w:color="auto" w:fill="F3EDE3"/>
            <w:vAlign w:val="center"/>
          </w:tcPr>
          <w:p>
            <w:pPr>
              <w:spacing w:before="40" w:after="40"/>
            </w:pPr>
            <w:r>
              <w:rPr>
                <w:b w:val="0"/>
                <w:color w:val="17212D"/>
                <w:sz w:val="18"/>
              </w:rPr>
              <w:t>Job title seniority keyword match</w:t>
            </w:r>
          </w:p>
        </w:tc>
        <w:tc>
          <w:tcPr>
            <w:tcW w:type="dxa" w:w="2304"/>
            <w:shd w:val="clear" w:color="auto" w:fill="F3EDE3"/>
            <w:vAlign w:val="center"/>
          </w:tcPr>
          <w:p>
            <w:pPr>
              <w:spacing w:before="40" w:after="40"/>
            </w:pPr>
            <w:r>
              <w:rPr>
                <w:b w:val="0"/>
                <w:color w:val="0F7A6B"/>
                <w:sz w:val="18"/>
              </w:rPr>
              <w:t>Yes</w:t>
            </w:r>
          </w:p>
        </w:tc>
      </w:tr>
      <w:tr>
        <w:tc>
          <w:tcPr>
            <w:tcW w:type="dxa" w:w="2448"/>
            <w:shd w:val="clear" w:color="auto" w:fill="FFFFFF"/>
            <w:vAlign w:val="center"/>
          </w:tcPr>
          <w:p>
            <w:pPr>
              <w:spacing w:before="40" w:after="40"/>
            </w:pPr>
            <w:r>
              <w:rPr>
                <w:b w:val="0"/>
                <w:color w:val="17212D"/>
                <w:sz w:val="18"/>
              </w:rPr>
              <w:t>fit_score</w:t>
            </w:r>
          </w:p>
        </w:tc>
        <w:tc>
          <w:tcPr>
            <w:tcW w:type="dxa" w:w="1008"/>
            <w:shd w:val="clear" w:color="auto" w:fill="FFFFFF"/>
            <w:vAlign w:val="center"/>
          </w:tcPr>
          <w:p>
            <w:pPr>
              <w:spacing w:before="40" w:after="40"/>
            </w:pPr>
            <w:r>
              <w:rPr>
                <w:b w:val="0"/>
                <w:color w:val="17212D"/>
                <w:sz w:val="18"/>
              </w:rPr>
              <w:t>0–100</w:t>
            </w:r>
          </w:p>
        </w:tc>
        <w:tc>
          <w:tcPr>
            <w:tcW w:type="dxa" w:w="4320"/>
            <w:shd w:val="clear" w:color="auto" w:fill="FFFFFF"/>
            <w:vAlign w:val="center"/>
          </w:tcPr>
          <w:p>
            <w:pPr>
              <w:spacing w:before="40" w:after="40"/>
            </w:pPr>
            <w:r>
              <w:rPr>
                <w:b w:val="0"/>
                <w:color w:val="17212D"/>
                <w:sz w:val="18"/>
              </w:rPr>
              <w:t>Authority + industry + geo + size + function + seniority vs ICP</w:t>
            </w:r>
          </w:p>
        </w:tc>
        <w:tc>
          <w:tcPr>
            <w:tcW w:type="dxa" w:w="2304"/>
            <w:shd w:val="clear" w:color="auto" w:fill="FFFFFF"/>
            <w:vAlign w:val="center"/>
          </w:tcPr>
          <w:p>
            <w:pPr>
              <w:spacing w:before="40" w:after="40"/>
            </w:pPr>
            <w:r>
              <w:rPr>
                <w:b w:val="0"/>
                <w:color w:val="0F7A6B"/>
                <w:sz w:val="18"/>
              </w:rPr>
              <w:t>Yes</w:t>
            </w:r>
          </w:p>
        </w:tc>
      </w:tr>
      <w:tr>
        <w:tc>
          <w:tcPr>
            <w:tcW w:type="dxa" w:w="2448"/>
            <w:shd w:val="clear" w:color="auto" w:fill="F3EDE3"/>
            <w:vAlign w:val="center"/>
          </w:tcPr>
          <w:p>
            <w:pPr>
              <w:spacing w:before="40" w:after="40"/>
            </w:pPr>
            <w:r>
              <w:rPr>
                <w:b w:val="0"/>
                <w:color w:val="17212D"/>
                <w:sz w:val="18"/>
              </w:rPr>
              <w:t>intent_score</w:t>
            </w:r>
          </w:p>
        </w:tc>
        <w:tc>
          <w:tcPr>
            <w:tcW w:type="dxa" w:w="1008"/>
            <w:shd w:val="clear" w:color="auto" w:fill="F3EDE3"/>
            <w:vAlign w:val="center"/>
          </w:tcPr>
          <w:p>
            <w:pPr>
              <w:spacing w:before="40" w:after="40"/>
            </w:pPr>
            <w:r>
              <w:rPr>
                <w:b w:val="0"/>
                <w:color w:val="17212D"/>
                <w:sz w:val="18"/>
              </w:rPr>
              <w:t>0–100</w:t>
            </w:r>
          </w:p>
        </w:tc>
        <w:tc>
          <w:tcPr>
            <w:tcW w:type="dxa" w:w="4320"/>
            <w:shd w:val="clear" w:color="auto" w:fill="F3EDE3"/>
            <w:vAlign w:val="center"/>
          </w:tcPr>
          <w:p>
            <w:pPr>
              <w:spacing w:before="40" w:after="40"/>
            </w:pPr>
            <w:r>
              <w:rPr>
                <w:b w:val="0"/>
                <w:color w:val="17212D"/>
                <w:sz w:val="18"/>
              </w:rPr>
              <w:t>Email engagement × 0.60 + late_stage × 0.20 + buying_group × 0.20</w:t>
            </w:r>
          </w:p>
        </w:tc>
        <w:tc>
          <w:tcPr>
            <w:tcW w:type="dxa" w:w="2304"/>
            <w:shd w:val="clear" w:color="auto" w:fill="F3EDE3"/>
            <w:vAlign w:val="center"/>
          </w:tcPr>
          <w:p>
            <w:pPr>
              <w:spacing w:before="40" w:after="40"/>
            </w:pPr>
            <w:r>
              <w:rPr>
                <w:b w:val="0"/>
                <w:color w:val="C78A2C"/>
                <w:sz w:val="18"/>
              </w:rPr>
              <w:t>Yes (0 if no events)</w:t>
            </w:r>
          </w:p>
        </w:tc>
      </w:tr>
      <w:tr>
        <w:tc>
          <w:tcPr>
            <w:tcW w:type="dxa" w:w="2448"/>
            <w:shd w:val="clear" w:color="auto" w:fill="FFFFFF"/>
            <w:vAlign w:val="center"/>
          </w:tcPr>
          <w:p>
            <w:pPr>
              <w:spacing w:before="40" w:after="40"/>
            </w:pPr>
            <w:r>
              <w:rPr>
                <w:b w:val="0"/>
                <w:color w:val="17212D"/>
                <w:sz w:val="18"/>
              </w:rPr>
              <w:t>partner_signal_score</w:t>
            </w:r>
          </w:p>
        </w:tc>
        <w:tc>
          <w:tcPr>
            <w:tcW w:type="dxa" w:w="1008"/>
            <w:shd w:val="clear" w:color="auto" w:fill="FFFFFF"/>
            <w:vAlign w:val="center"/>
          </w:tcPr>
          <w:p>
            <w:pPr>
              <w:spacing w:before="40" w:after="40"/>
            </w:pPr>
            <w:r>
              <w:rPr>
                <w:b w:val="0"/>
                <w:color w:val="17212D"/>
                <w:sz w:val="18"/>
              </w:rPr>
              <w:t>0–100</w:t>
            </w:r>
          </w:p>
        </w:tc>
        <w:tc>
          <w:tcPr>
            <w:tcW w:type="dxa" w:w="4320"/>
            <w:shd w:val="clear" w:color="auto" w:fill="FFFFFF"/>
            <w:vAlign w:val="center"/>
          </w:tcPr>
          <w:p>
            <w:pPr>
              <w:spacing w:before="40" w:after="40"/>
            </w:pPr>
            <w:r>
              <w:rPr>
                <w:b w:val="0"/>
                <w:color w:val="17212D"/>
                <w:sz w:val="18"/>
              </w:rPr>
              <w:t>Avg of 3 approval rates from form</w:t>
            </w:r>
          </w:p>
        </w:tc>
        <w:tc>
          <w:tcPr>
            <w:tcW w:type="dxa" w:w="2304"/>
            <w:shd w:val="clear" w:color="auto" w:fill="FFFFFF"/>
            <w:vAlign w:val="center"/>
          </w:tcPr>
          <w:p>
            <w:pPr>
              <w:spacing w:before="40" w:after="40"/>
            </w:pPr>
            <w:r>
              <w:rPr>
                <w:b w:val="0"/>
                <w:color w:val="B63A3A"/>
                <w:sz w:val="18"/>
              </w:rPr>
              <w:t>Form default</w:t>
            </w:r>
          </w:p>
        </w:tc>
      </w:tr>
      <w:tr>
        <w:tc>
          <w:tcPr>
            <w:tcW w:type="dxa" w:w="2448"/>
            <w:shd w:val="clear" w:color="auto" w:fill="F3EDE3"/>
            <w:vAlign w:val="center"/>
          </w:tcPr>
          <w:p>
            <w:pPr>
              <w:spacing w:before="40" w:after="40"/>
            </w:pPr>
            <w:r>
              <w:rPr>
                <w:b w:val="0"/>
                <w:color w:val="17212D"/>
                <w:sz w:val="18"/>
              </w:rPr>
              <w:t>client_history_score</w:t>
            </w:r>
          </w:p>
        </w:tc>
        <w:tc>
          <w:tcPr>
            <w:tcW w:type="dxa" w:w="1008"/>
            <w:shd w:val="clear" w:color="auto" w:fill="F3EDE3"/>
            <w:vAlign w:val="center"/>
          </w:tcPr>
          <w:p>
            <w:pPr>
              <w:spacing w:before="40" w:after="40"/>
            </w:pPr>
            <w:r>
              <w:rPr>
                <w:b w:val="0"/>
                <w:color w:val="17212D"/>
                <w:sz w:val="18"/>
              </w:rPr>
              <w:t>0–100</w:t>
            </w:r>
          </w:p>
        </w:tc>
        <w:tc>
          <w:tcPr>
            <w:tcW w:type="dxa" w:w="4320"/>
            <w:shd w:val="clear" w:color="auto" w:fill="F3EDE3"/>
            <w:vAlign w:val="center"/>
          </w:tcPr>
          <w:p>
            <w:pPr>
              <w:spacing w:before="40" w:after="40"/>
            </w:pPr>
            <w:r>
              <w:rPr>
                <w:b w:val="0"/>
                <w:color w:val="17212D"/>
                <w:sz w:val="18"/>
              </w:rPr>
              <w:t>client_acceptance_rate_6m × 100</w:t>
            </w:r>
          </w:p>
        </w:tc>
        <w:tc>
          <w:tcPr>
            <w:tcW w:type="dxa" w:w="2304"/>
            <w:shd w:val="clear" w:color="auto" w:fill="F3EDE3"/>
            <w:vAlign w:val="center"/>
          </w:tcPr>
          <w:p>
            <w:pPr>
              <w:spacing w:before="40" w:after="40"/>
            </w:pPr>
            <w:r>
              <w:rPr>
                <w:b w:val="0"/>
                <w:color w:val="B63A3A"/>
                <w:sz w:val="18"/>
              </w:rPr>
              <w:t>Form default</w:t>
            </w:r>
          </w:p>
        </w:tc>
      </w:tr>
      <w:tr>
        <w:tc>
          <w:tcPr>
            <w:tcW w:type="dxa" w:w="2448"/>
            <w:shd w:val="clear" w:color="auto" w:fill="FFFFFF"/>
            <w:vAlign w:val="center"/>
          </w:tcPr>
          <w:p>
            <w:pPr>
              <w:spacing w:before="40" w:after="40"/>
            </w:pPr>
            <w:r>
              <w:rPr>
                <w:b w:val="0"/>
                <w:color w:val="17212D"/>
                <w:sz w:val="18"/>
              </w:rPr>
              <w:t>campaign_history_score</w:t>
            </w:r>
          </w:p>
        </w:tc>
        <w:tc>
          <w:tcPr>
            <w:tcW w:type="dxa" w:w="1008"/>
            <w:shd w:val="clear" w:color="auto" w:fill="FFFFFF"/>
            <w:vAlign w:val="center"/>
          </w:tcPr>
          <w:p>
            <w:pPr>
              <w:spacing w:before="40" w:after="40"/>
            </w:pPr>
            <w:r>
              <w:rPr>
                <w:b w:val="0"/>
                <w:color w:val="17212D"/>
                <w:sz w:val="18"/>
              </w:rPr>
              <w:t>0–100</w:t>
            </w:r>
          </w:p>
        </w:tc>
        <w:tc>
          <w:tcPr>
            <w:tcW w:type="dxa" w:w="4320"/>
            <w:shd w:val="clear" w:color="auto" w:fill="FFFFFF"/>
            <w:vAlign w:val="center"/>
          </w:tcPr>
          <w:p>
            <w:pPr>
              <w:spacing w:before="40" w:after="40"/>
            </w:pPr>
            <w:r>
              <w:rPr>
                <w:b w:val="0"/>
                <w:color w:val="17212D"/>
                <w:sz w:val="18"/>
              </w:rPr>
              <w:t>history_approval_rate × 100</w:t>
            </w:r>
          </w:p>
        </w:tc>
        <w:tc>
          <w:tcPr>
            <w:tcW w:type="dxa" w:w="2304"/>
            <w:shd w:val="clear" w:color="auto" w:fill="FFFFFF"/>
            <w:vAlign w:val="center"/>
          </w:tcPr>
          <w:p>
            <w:pPr>
              <w:spacing w:before="40" w:after="40"/>
            </w:pPr>
            <w:r>
              <w:rPr>
                <w:b w:val="0"/>
                <w:color w:val="B63A3A"/>
                <w:sz w:val="18"/>
              </w:rPr>
              <w:t>Form default</w:t>
            </w:r>
          </w:p>
        </w:tc>
      </w:tr>
      <w:tr>
        <w:tc>
          <w:tcPr>
            <w:tcW w:type="dxa" w:w="2448"/>
            <w:shd w:val="clear" w:color="auto" w:fill="F3EDE3"/>
            <w:vAlign w:val="center"/>
          </w:tcPr>
          <w:p>
            <w:pPr>
              <w:spacing w:before="40" w:after="40"/>
            </w:pPr>
            <w:r>
              <w:rPr>
                <w:b w:val="0"/>
                <w:color w:val="17212D"/>
                <w:sz w:val="18"/>
              </w:rPr>
              <w:t>data_quality_score</w:t>
            </w:r>
          </w:p>
        </w:tc>
        <w:tc>
          <w:tcPr>
            <w:tcW w:type="dxa" w:w="1008"/>
            <w:shd w:val="clear" w:color="auto" w:fill="F3EDE3"/>
            <w:vAlign w:val="center"/>
          </w:tcPr>
          <w:p>
            <w:pPr>
              <w:spacing w:before="40" w:after="40"/>
            </w:pPr>
            <w:r>
              <w:rPr>
                <w:b w:val="0"/>
                <w:color w:val="17212D"/>
                <w:sz w:val="18"/>
              </w:rPr>
              <w:t>0–100</w:t>
            </w:r>
          </w:p>
        </w:tc>
        <w:tc>
          <w:tcPr>
            <w:tcW w:type="dxa" w:w="4320"/>
            <w:shd w:val="clear" w:color="auto" w:fill="F3EDE3"/>
            <w:vAlign w:val="center"/>
          </w:tcPr>
          <w:p>
            <w:pPr>
              <w:spacing w:before="40" w:after="40"/>
            </w:pPr>
            <w:r>
              <w:rPr>
                <w:b w:val="0"/>
                <w:color w:val="17212D"/>
                <w:sz w:val="18"/>
              </w:rPr>
              <w:t>Email domain, title, company size, geography</w:t>
            </w:r>
          </w:p>
        </w:tc>
        <w:tc>
          <w:tcPr>
            <w:tcW w:type="dxa" w:w="2304"/>
            <w:shd w:val="clear" w:color="auto" w:fill="F3EDE3"/>
            <w:vAlign w:val="center"/>
          </w:tcPr>
          <w:p>
            <w:pPr>
              <w:spacing w:before="40" w:after="40"/>
            </w:pPr>
            <w:r>
              <w:rPr>
                <w:b w:val="0"/>
                <w:color w:val="0F7A6B"/>
                <w:sz w:val="18"/>
              </w:rPr>
              <w:t>Yes</w:t>
            </w:r>
          </w:p>
        </w:tc>
      </w:tr>
      <w:tr>
        <w:tc>
          <w:tcPr>
            <w:tcW w:type="dxa" w:w="2448"/>
            <w:shd w:val="clear" w:color="auto" w:fill="FFFFFF"/>
            <w:vAlign w:val="center"/>
          </w:tcPr>
          <w:p>
            <w:pPr>
              <w:spacing w:before="40" w:after="40"/>
            </w:pPr>
            <w:r>
              <w:rPr>
                <w:b w:val="0"/>
                <w:color w:val="17212D"/>
                <w:sz w:val="18"/>
              </w:rPr>
              <w:t>icp_match_score</w:t>
            </w:r>
          </w:p>
        </w:tc>
        <w:tc>
          <w:tcPr>
            <w:tcW w:type="dxa" w:w="1008"/>
            <w:shd w:val="clear" w:color="auto" w:fill="FFFFFF"/>
            <w:vAlign w:val="center"/>
          </w:tcPr>
          <w:p>
            <w:pPr>
              <w:spacing w:before="40" w:after="40"/>
            </w:pPr>
            <w:r>
              <w:rPr>
                <w:b w:val="0"/>
                <w:color w:val="17212D"/>
                <w:sz w:val="18"/>
              </w:rPr>
              <w:t>0–100</w:t>
            </w:r>
          </w:p>
        </w:tc>
        <w:tc>
          <w:tcPr>
            <w:tcW w:type="dxa" w:w="4320"/>
            <w:shd w:val="clear" w:color="auto" w:fill="FFFFFF"/>
            <w:vAlign w:val="center"/>
          </w:tcPr>
          <w:p>
            <w:pPr>
              <w:spacing w:before="40" w:after="40"/>
            </w:pPr>
            <w:r>
              <w:rPr>
                <w:b w:val="0"/>
                <w:color w:val="17212D"/>
                <w:sz w:val="18"/>
              </w:rPr>
              <w:t>(industry + geo + max(function,seniority)) / 3 × 100</w:t>
            </w:r>
          </w:p>
        </w:tc>
        <w:tc>
          <w:tcPr>
            <w:tcW w:type="dxa" w:w="2304"/>
            <w:shd w:val="clear" w:color="auto" w:fill="FFFFFF"/>
            <w:vAlign w:val="center"/>
          </w:tcPr>
          <w:p>
            <w:pPr>
              <w:spacing w:before="40" w:after="40"/>
            </w:pPr>
            <w:r>
              <w:rPr>
                <w:b w:val="0"/>
                <w:color w:val="0F7A6B"/>
                <w:sz w:val="18"/>
              </w:rPr>
              <w:t>Yes</w:t>
            </w:r>
          </w:p>
        </w:tc>
      </w:tr>
      <w:tr>
        <w:tc>
          <w:tcPr>
            <w:tcW w:type="dxa" w:w="2448"/>
            <w:shd w:val="clear" w:color="auto" w:fill="F3EDE3"/>
            <w:vAlign w:val="center"/>
          </w:tcPr>
          <w:p>
            <w:pPr>
              <w:spacing w:before="40" w:after="40"/>
            </w:pPr>
            <w:r>
              <w:rPr>
                <w:b w:val="0"/>
                <w:color w:val="17212D"/>
                <w:sz w:val="18"/>
              </w:rPr>
              <w:t>buying_group_score</w:t>
            </w:r>
          </w:p>
        </w:tc>
        <w:tc>
          <w:tcPr>
            <w:tcW w:type="dxa" w:w="1008"/>
            <w:shd w:val="clear" w:color="auto" w:fill="F3EDE3"/>
            <w:vAlign w:val="center"/>
          </w:tcPr>
          <w:p>
            <w:pPr>
              <w:spacing w:before="40" w:after="40"/>
            </w:pPr>
            <w:r>
              <w:rPr>
                <w:b w:val="0"/>
                <w:color w:val="17212D"/>
                <w:sz w:val="18"/>
              </w:rPr>
              <w:t>0–100</w:t>
            </w:r>
          </w:p>
        </w:tc>
        <w:tc>
          <w:tcPr>
            <w:tcW w:type="dxa" w:w="4320"/>
            <w:shd w:val="clear" w:color="auto" w:fill="F3EDE3"/>
            <w:vAlign w:val="center"/>
          </w:tcPr>
          <w:p>
            <w:pPr>
              <w:spacing w:before="40" w:after="40"/>
            </w:pPr>
            <w:r>
              <w:rPr>
                <w:b w:val="0"/>
                <w:color w:val="17212D"/>
                <w:sz w:val="18"/>
              </w:rPr>
              <w:t>Persona count + completeness + stage + acct history</w:t>
            </w:r>
          </w:p>
        </w:tc>
        <w:tc>
          <w:tcPr>
            <w:tcW w:type="dxa" w:w="2304"/>
            <w:shd w:val="clear" w:color="auto" w:fill="F3EDE3"/>
            <w:vAlign w:val="center"/>
          </w:tcPr>
          <w:p>
            <w:pPr>
              <w:spacing w:before="40" w:after="40"/>
            </w:pPr>
            <w:r>
              <w:rPr>
                <w:b w:val="0"/>
                <w:color w:val="C78A2C"/>
                <w:sz w:val="18"/>
              </w:rPr>
              <w:t>Partially (acct history = form default)</w:t>
            </w:r>
          </w:p>
        </w:tc>
      </w:tr>
      <w:tr>
        <w:tc>
          <w:tcPr>
            <w:tcW w:type="dxa" w:w="2448"/>
            <w:shd w:val="clear" w:color="auto" w:fill="FFFFFF"/>
            <w:vAlign w:val="center"/>
          </w:tcPr>
          <w:p>
            <w:pPr>
              <w:spacing w:before="40" w:after="40"/>
            </w:pPr>
            <w:r>
              <w:rPr>
                <w:b w:val="0"/>
                <w:color w:val="17212D"/>
                <w:sz w:val="18"/>
              </w:rPr>
              <w:t>unique_persona_count</w:t>
            </w:r>
          </w:p>
        </w:tc>
        <w:tc>
          <w:tcPr>
            <w:tcW w:type="dxa" w:w="1008"/>
            <w:shd w:val="clear" w:color="auto" w:fill="FFFFFF"/>
            <w:vAlign w:val="center"/>
          </w:tcPr>
          <w:p>
            <w:pPr>
              <w:spacing w:before="40" w:after="40"/>
            </w:pPr>
            <w:r>
              <w:rPr>
                <w:b w:val="0"/>
                <w:color w:val="17212D"/>
                <w:sz w:val="18"/>
              </w:rPr>
              <w:t>0–4+</w:t>
            </w:r>
          </w:p>
        </w:tc>
        <w:tc>
          <w:tcPr>
            <w:tcW w:type="dxa" w:w="4320"/>
            <w:shd w:val="clear" w:color="auto" w:fill="FFFFFF"/>
            <w:vAlign w:val="center"/>
          </w:tcPr>
          <w:p>
            <w:pPr>
              <w:spacing w:before="40" w:after="40"/>
            </w:pPr>
            <w:r>
              <w:rPr>
                <w:b w:val="0"/>
                <w:color w:val="17212D"/>
                <w:sz w:val="18"/>
              </w:rPr>
              <w:t>Distinct job functions at account</w:t>
            </w:r>
          </w:p>
        </w:tc>
        <w:tc>
          <w:tcPr>
            <w:tcW w:type="dxa" w:w="2304"/>
            <w:shd w:val="clear" w:color="auto" w:fill="FFFFFF"/>
            <w:vAlign w:val="center"/>
          </w:tcPr>
          <w:p>
            <w:pPr>
              <w:spacing w:before="40" w:after="40"/>
            </w:pPr>
            <w:r>
              <w:rPr>
                <w:b w:val="0"/>
                <w:color w:val="0F7A6B"/>
                <w:sz w:val="18"/>
              </w:rPr>
              <w:t>Yes — from DB + current lead</w:t>
            </w:r>
          </w:p>
        </w:tc>
      </w:tr>
      <w:tr>
        <w:tc>
          <w:tcPr>
            <w:tcW w:type="dxa" w:w="2448"/>
            <w:shd w:val="clear" w:color="auto" w:fill="F3EDE3"/>
            <w:vAlign w:val="center"/>
          </w:tcPr>
          <w:p>
            <w:pPr>
              <w:spacing w:before="40" w:after="40"/>
            </w:pPr>
            <w:r>
              <w:rPr>
                <w:b w:val="0"/>
                <w:color w:val="17212D"/>
                <w:sz w:val="18"/>
              </w:rPr>
              <w:t>late_stage_signal</w:t>
            </w:r>
          </w:p>
        </w:tc>
        <w:tc>
          <w:tcPr>
            <w:tcW w:type="dxa" w:w="1008"/>
            <w:shd w:val="clear" w:color="auto" w:fill="F3EDE3"/>
            <w:vAlign w:val="center"/>
          </w:tcPr>
          <w:p>
            <w:pPr>
              <w:spacing w:before="40" w:after="40"/>
            </w:pPr>
            <w:r>
              <w:rPr>
                <w:b w:val="0"/>
                <w:color w:val="17212D"/>
                <w:sz w:val="18"/>
              </w:rPr>
              <w:t>0–100</w:t>
            </w:r>
          </w:p>
        </w:tc>
        <w:tc>
          <w:tcPr>
            <w:tcW w:type="dxa" w:w="4320"/>
            <w:shd w:val="clear" w:color="auto" w:fill="F3EDE3"/>
            <w:vAlign w:val="center"/>
          </w:tcPr>
          <w:p>
            <w:pPr>
              <w:spacing w:before="40" w:after="40"/>
            </w:pPr>
            <w:r>
              <w:rPr>
                <w:b w:val="0"/>
                <w:color w:val="17212D"/>
                <w:sz w:val="18"/>
              </w:rPr>
              <w:t>stage_weight × 20, capped at 100</w:t>
            </w:r>
          </w:p>
        </w:tc>
        <w:tc>
          <w:tcPr>
            <w:tcW w:type="dxa" w:w="2304"/>
            <w:shd w:val="clear" w:color="auto" w:fill="F3EDE3"/>
            <w:vAlign w:val="center"/>
          </w:tcPr>
          <w:p>
            <w:pPr>
              <w:spacing w:before="40" w:after="40"/>
            </w:pPr>
            <w:r>
              <w:rPr>
                <w:b w:val="0"/>
                <w:color w:val="0F7A6B"/>
                <w:sz w:val="18"/>
              </w:rPr>
              <w:t>Yes — from asset classification</w:t>
            </w:r>
          </w:p>
        </w:tc>
      </w:tr>
      <w:tr>
        <w:tc>
          <w:tcPr>
            <w:tcW w:type="dxa" w:w="2448"/>
            <w:shd w:val="clear" w:color="auto" w:fill="FFFFFF"/>
            <w:vAlign w:val="center"/>
          </w:tcPr>
          <w:p>
            <w:pPr>
              <w:spacing w:before="40" w:after="40"/>
            </w:pPr>
            <w:r>
              <w:rPr>
                <w:b w:val="0"/>
                <w:color w:val="17212D"/>
                <w:sz w:val="18"/>
              </w:rPr>
              <w:t>email_engagement_score</w:t>
            </w:r>
          </w:p>
        </w:tc>
        <w:tc>
          <w:tcPr>
            <w:tcW w:type="dxa" w:w="1008"/>
            <w:shd w:val="clear" w:color="auto" w:fill="FFFFFF"/>
            <w:vAlign w:val="center"/>
          </w:tcPr>
          <w:p>
            <w:pPr>
              <w:spacing w:before="40" w:after="40"/>
            </w:pPr>
            <w:r>
              <w:rPr>
                <w:b w:val="0"/>
                <w:color w:val="17212D"/>
                <w:sz w:val="18"/>
              </w:rPr>
              <w:t>0–100</w:t>
            </w:r>
          </w:p>
        </w:tc>
        <w:tc>
          <w:tcPr>
            <w:tcW w:type="dxa" w:w="4320"/>
            <w:shd w:val="clear" w:color="auto" w:fill="FFFFFF"/>
            <w:vAlign w:val="center"/>
          </w:tcPr>
          <w:p>
            <w:pPr>
              <w:spacing w:before="40" w:after="40"/>
            </w:pPr>
            <w:r>
              <w:rPr>
                <w:b w:val="0"/>
                <w:color w:val="17212D"/>
                <w:sz w:val="18"/>
              </w:rPr>
              <w:t>Sum of weighted events × stage_weight</w:t>
            </w:r>
          </w:p>
        </w:tc>
        <w:tc>
          <w:tcPr>
            <w:tcW w:type="dxa" w:w="2304"/>
            <w:shd w:val="clear" w:color="auto" w:fill="FFFFFF"/>
            <w:vAlign w:val="center"/>
          </w:tcPr>
          <w:p>
            <w:pPr>
              <w:spacing w:before="40" w:after="40"/>
            </w:pPr>
            <w:r>
              <w:rPr>
                <w:b w:val="0"/>
                <w:color w:val="C78A2C"/>
                <w:sz w:val="18"/>
              </w:rPr>
              <w:t>Yes (0 if no events)</w:t>
            </w:r>
          </w:p>
        </w:tc>
      </w:tr>
      <w:tr>
        <w:tc>
          <w:tcPr>
            <w:tcW w:type="dxa" w:w="2448"/>
            <w:shd w:val="clear" w:color="auto" w:fill="F3EDE3"/>
            <w:vAlign w:val="center"/>
          </w:tcPr>
          <w:p>
            <w:pPr>
              <w:spacing w:before="40" w:after="40"/>
            </w:pPr>
            <w:r>
              <w:rPr>
                <w:b w:val="0"/>
                <w:color w:val="17212D"/>
                <w:sz w:val="18"/>
              </w:rPr>
              <w:t>second_touch_signal</w:t>
            </w:r>
          </w:p>
        </w:tc>
        <w:tc>
          <w:tcPr>
            <w:tcW w:type="dxa" w:w="1008"/>
            <w:shd w:val="clear" w:color="auto" w:fill="F3EDE3"/>
            <w:vAlign w:val="center"/>
          </w:tcPr>
          <w:p>
            <w:pPr>
              <w:spacing w:before="40" w:after="40"/>
            </w:pPr>
            <w:r>
              <w:rPr>
                <w:b w:val="0"/>
                <w:color w:val="17212D"/>
                <w:sz w:val="18"/>
              </w:rPr>
              <w:t>0–100</w:t>
            </w:r>
          </w:p>
        </w:tc>
        <w:tc>
          <w:tcPr>
            <w:tcW w:type="dxa" w:w="4320"/>
            <w:shd w:val="clear" w:color="auto" w:fill="F3EDE3"/>
            <w:vAlign w:val="center"/>
          </w:tcPr>
          <w:p>
            <w:pPr>
              <w:spacing w:before="40" w:after="40"/>
            </w:pPr>
            <w:r>
              <w:rPr>
                <w:b w:val="0"/>
                <w:color w:val="17212D"/>
                <w:sz w:val="18"/>
              </w:rPr>
              <w:t>Email 2 events × 1.5× multiplier</w:t>
            </w:r>
          </w:p>
        </w:tc>
        <w:tc>
          <w:tcPr>
            <w:tcW w:type="dxa" w:w="2304"/>
            <w:shd w:val="clear" w:color="auto" w:fill="F3EDE3"/>
            <w:vAlign w:val="center"/>
          </w:tcPr>
          <w:p>
            <w:pPr>
              <w:spacing w:before="40" w:after="40"/>
            </w:pPr>
            <w:r>
              <w:rPr>
                <w:b w:val="0"/>
                <w:color w:val="C78A2C"/>
                <w:sz w:val="18"/>
              </w:rPr>
              <w:t>Yes (0 if no events)</w:t>
            </w:r>
          </w:p>
        </w:tc>
      </w:tr>
      <w:tr>
        <w:tc>
          <w:tcPr>
            <w:tcW w:type="dxa" w:w="2448"/>
            <w:shd w:val="clear" w:color="auto" w:fill="FFFFFF"/>
            <w:vAlign w:val="center"/>
          </w:tcPr>
          <w:p>
            <w:pPr>
              <w:spacing w:before="40" w:after="40"/>
            </w:pPr>
            <w:r>
              <w:rPr>
                <w:b w:val="0"/>
                <w:color w:val="17212D"/>
                <w:sz w:val="18"/>
              </w:rPr>
              <w:t>recency_score</w:t>
            </w:r>
          </w:p>
        </w:tc>
        <w:tc>
          <w:tcPr>
            <w:tcW w:type="dxa" w:w="1008"/>
            <w:shd w:val="clear" w:color="auto" w:fill="FFFFFF"/>
            <w:vAlign w:val="center"/>
          </w:tcPr>
          <w:p>
            <w:pPr>
              <w:spacing w:before="40" w:after="40"/>
            </w:pPr>
            <w:r>
              <w:rPr>
                <w:b w:val="0"/>
                <w:color w:val="17212D"/>
                <w:sz w:val="18"/>
              </w:rPr>
              <w:t>0–100</w:t>
            </w:r>
          </w:p>
        </w:tc>
        <w:tc>
          <w:tcPr>
            <w:tcW w:type="dxa" w:w="4320"/>
            <w:shd w:val="clear" w:color="auto" w:fill="FFFFFF"/>
            <w:vAlign w:val="center"/>
          </w:tcPr>
          <w:p>
            <w:pPr>
              <w:spacing w:before="40" w:after="40"/>
            </w:pPr>
            <w:r>
              <w:rPr>
                <w:b w:val="0"/>
                <w:color w:val="17212D"/>
                <w:sz w:val="18"/>
              </w:rPr>
              <w:t>Exponential decay: 100 × e^(−λ × age_days), half-life = 21 days</w:t>
            </w:r>
          </w:p>
        </w:tc>
        <w:tc>
          <w:tcPr>
            <w:tcW w:type="dxa" w:w="2304"/>
            <w:shd w:val="clear" w:color="auto" w:fill="FFFFFF"/>
            <w:vAlign w:val="center"/>
          </w:tcPr>
          <w:p>
            <w:pPr>
              <w:spacing w:before="40" w:after="40"/>
            </w:pPr>
            <w:r>
              <w:rPr>
                <w:b w:val="0"/>
                <w:color w:val="C78A2C"/>
                <w:sz w:val="18"/>
              </w:rPr>
              <w:t>Yes (35 default if no events)</w:t>
            </w:r>
          </w:p>
        </w:tc>
      </w:tr>
    </w:tbl>
    <w:p/>
    <w:p>
      <w:pPr>
        <w:spacing w:before="440" w:after="120"/>
      </w:pPr>
      <w:r>
        <w:rPr>
          <w:b/>
          <w:color w:val="BA4B26"/>
          <w:sz w:val="40"/>
        </w:rPr>
        <w:t>5. Score Calculation — Heuristic Fallback (when no model is promoted)</w:t>
      </w:r>
    </w:p>
    <w:p>
      <w:pPr>
        <w:spacing w:before="40" w:after="80"/>
      </w:pPr>
      <w:r>
        <w:rPr>
          <w:i w:val="0"/>
          <w:color w:val="17212D"/>
          <w:sz w:val="20"/>
        </w:rPr>
        <w:t>This formula runs when no lead_quality_model.pkl exists. It is NOT active in the current runtime.</w:t>
      </w:r>
    </w:p>
    <w:p>
      <w:pPr>
        <w:spacing w:before="200" w:after="40"/>
      </w:pPr>
      <w:r>
        <w:rPr>
          <w:b/>
          <w:color w:val="0F7A6B"/>
          <w:sz w:val="22"/>
        </w:rPr>
        <w:t>Weighted linear formula</w:t>
      </w:r>
    </w:p>
    <w:p>
      <w:pPr>
        <w:spacing w:before="40" w:after="80"/>
      </w:pPr>
      <w:r>
        <w:rPr>
          <w:i w:val="0"/>
          <w:color w:val="17212D"/>
          <w:sz w:val="20"/>
        </w:rPr>
        <w:t>approval_score = (fit × 0.28) + (intent × 0.22) + (partner × 0.18) + (client_hist × 0.10) + (campaign_hist × 0.08) + (data_quality × 0.08) + (icp_match × 0.06)</w:t>
      </w:r>
    </w:p>
    <w:p>
      <w:pPr>
        <w:spacing w:before="200" w:after="40"/>
      </w:pPr>
      <w:r>
        <w:rPr>
          <w:b/>
          <w:color w:val="0F7A6B"/>
          <w:sz w:val="22"/>
        </w:rPr>
        <w:t>Penalties applied after weighting</w:t>
      </w:r>
    </w:p>
    <w:p>
      <w:pPr>
        <w:pStyle w:val="ListBullet"/>
        <w:spacing w:before="20" w:after="40"/>
        <w:ind w:left="360"/>
      </w:pPr>
      <w:r>
        <w:rPr>
          <w:color w:val="17212D"/>
          <w:sz w:val="20"/>
        </w:rPr>
        <w:t>If data_quality_score &lt; 45: deduct 8 points</w:t>
      </w:r>
    </w:p>
    <w:p>
      <w:pPr>
        <w:pStyle w:val="ListBullet"/>
        <w:spacing w:before="20" w:after="40"/>
        <w:ind w:left="360"/>
      </w:pPr>
      <w:r>
        <w:rPr>
          <w:color w:val="17212D"/>
          <w:sz w:val="20"/>
        </w:rPr>
        <w:t>If partner_signal_score &lt; 40: deduct 10 points</w:t>
      </w:r>
    </w:p>
    <w:p>
      <w:pPr>
        <w:pStyle w:val="ListBullet"/>
        <w:spacing w:before="20" w:after="40"/>
        <w:ind w:left="360"/>
      </w:pPr>
      <w:r>
        <w:rPr>
          <w:color w:val="17212D"/>
          <w:sz w:val="20"/>
        </w:rPr>
        <w:t>Final score is clamped to [0, 100]</w:t>
      </w:r>
    </w:p>
    <w:p>
      <w:pPr>
        <w:spacing w:before="200" w:after="40"/>
      </w:pPr>
      <w:r>
        <w:rPr>
          <w:b/>
          <w:color w:val="0F7A6B"/>
          <w:sz w:val="22"/>
        </w:rPr>
        <w:t>Example calculation (lead with no engagement data)</w:t>
      </w:r>
    </w:p>
    <w:tbl>
      <w:tblPr>
        <w:tblStyle w:val="TableGrid"/>
        <w:tblW w:type="auto" w:w="0"/>
        <w:tblLook w:firstColumn="1" w:firstRow="1" w:lastColumn="0" w:lastRow="0" w:noHBand="0" w:noVBand="1" w:val="04A0"/>
      </w:tblPr>
      <w:tblGrid>
        <w:gridCol w:w="2268"/>
        <w:gridCol w:w="2268"/>
        <w:gridCol w:w="2268"/>
        <w:gridCol w:w="2268"/>
      </w:tblGrid>
      <w:tr>
        <w:tc>
          <w:tcPr>
            <w:tcW w:type="dxa" w:w="3168"/>
            <w:vAlign w:val="center"/>
            <w:shd w:val="clear" w:color="auto" w:fill="17212D"/>
          </w:tcPr>
          <w:p>
            <w:pPr>
              <w:spacing w:before="60" w:after="60"/>
            </w:pPr>
            <w:r>
              <w:rPr>
                <w:b/>
                <w:color w:val="FFFFFF"/>
                <w:sz w:val="18"/>
              </w:rPr>
              <w:t>Dimension</w:t>
            </w:r>
          </w:p>
        </w:tc>
        <w:tc>
          <w:tcPr>
            <w:tcW w:type="dxa" w:w="1440"/>
            <w:vAlign w:val="center"/>
            <w:shd w:val="clear" w:color="auto" w:fill="17212D"/>
          </w:tcPr>
          <w:p>
            <w:pPr>
              <w:spacing w:before="60" w:after="60"/>
            </w:pPr>
            <w:r>
              <w:rPr>
                <w:b/>
                <w:color w:val="FFFFFF"/>
                <w:sz w:val="18"/>
              </w:rPr>
              <w:t>Score</w:t>
            </w:r>
          </w:p>
        </w:tc>
        <w:tc>
          <w:tcPr>
            <w:tcW w:type="dxa" w:w="1440"/>
            <w:vAlign w:val="center"/>
            <w:shd w:val="clear" w:color="auto" w:fill="17212D"/>
          </w:tcPr>
          <w:p>
            <w:pPr>
              <w:spacing w:before="60" w:after="60"/>
            </w:pPr>
            <w:r>
              <w:rPr>
                <w:b/>
                <w:color w:val="FFFFFF"/>
                <w:sz w:val="18"/>
              </w:rPr>
              <w:t>Weight</w:t>
            </w:r>
          </w:p>
        </w:tc>
        <w:tc>
          <w:tcPr>
            <w:tcW w:type="dxa" w:w="4320"/>
            <w:vAlign w:val="center"/>
            <w:shd w:val="clear" w:color="auto" w:fill="17212D"/>
          </w:tcPr>
          <w:p>
            <w:pPr>
              <w:spacing w:before="60" w:after="60"/>
            </w:pPr>
            <w:r>
              <w:rPr>
                <w:b/>
                <w:color w:val="FFFFFF"/>
                <w:sz w:val="18"/>
              </w:rPr>
              <w:t>Contribution</w:t>
            </w:r>
          </w:p>
        </w:tc>
      </w:tr>
      <w:tr>
        <w:tc>
          <w:tcPr>
            <w:tcW w:type="dxa" w:w="3168"/>
            <w:shd w:val="clear" w:color="auto" w:fill="F3EDE3"/>
            <w:vAlign w:val="center"/>
          </w:tcPr>
          <w:p>
            <w:pPr>
              <w:spacing w:before="40" w:after="40"/>
            </w:pPr>
            <w:r>
              <w:rPr>
                <w:b w:val="0"/>
                <w:color w:val="17212D"/>
                <w:sz w:val="18"/>
              </w:rPr>
              <w:t>fit_score</w:t>
            </w:r>
          </w:p>
        </w:tc>
        <w:tc>
          <w:tcPr>
            <w:tcW w:type="dxa" w:w="1440"/>
            <w:shd w:val="clear" w:color="auto" w:fill="F3EDE3"/>
            <w:vAlign w:val="center"/>
          </w:tcPr>
          <w:p>
            <w:pPr>
              <w:spacing w:before="40" w:after="40"/>
            </w:pPr>
            <w:r>
              <w:rPr>
                <w:b w:val="0"/>
                <w:color w:val="17212D"/>
                <w:sz w:val="18"/>
              </w:rPr>
              <w:t>68</w:t>
            </w:r>
          </w:p>
        </w:tc>
        <w:tc>
          <w:tcPr>
            <w:tcW w:type="dxa" w:w="1440"/>
            <w:shd w:val="clear" w:color="auto" w:fill="F3EDE3"/>
            <w:vAlign w:val="center"/>
          </w:tcPr>
          <w:p>
            <w:pPr>
              <w:spacing w:before="40" w:after="40"/>
            </w:pPr>
            <w:r>
              <w:rPr>
                <w:b w:val="0"/>
                <w:color w:val="17212D"/>
                <w:sz w:val="18"/>
              </w:rPr>
              <w:t>× 0.28</w:t>
            </w:r>
          </w:p>
        </w:tc>
        <w:tc>
          <w:tcPr>
            <w:tcW w:type="dxa" w:w="4320"/>
            <w:shd w:val="clear" w:color="auto" w:fill="F3EDE3"/>
            <w:vAlign w:val="center"/>
          </w:tcPr>
          <w:p>
            <w:pPr>
              <w:spacing w:before="40" w:after="40"/>
            </w:pPr>
            <w:r>
              <w:rPr>
                <w:b w:val="0"/>
                <w:color w:val="17212D"/>
                <w:sz w:val="18"/>
              </w:rPr>
              <w:t>19.0</w:t>
            </w:r>
          </w:p>
        </w:tc>
      </w:tr>
      <w:tr>
        <w:tc>
          <w:tcPr>
            <w:tcW w:type="dxa" w:w="3168"/>
            <w:shd w:val="clear" w:color="auto" w:fill="FFFFFF"/>
            <w:vAlign w:val="center"/>
          </w:tcPr>
          <w:p>
            <w:pPr>
              <w:spacing w:before="40" w:after="40"/>
            </w:pPr>
            <w:r>
              <w:rPr>
                <w:b w:val="0"/>
                <w:color w:val="17212D"/>
                <w:sz w:val="18"/>
              </w:rPr>
              <w:t>intent_score</w:t>
            </w:r>
          </w:p>
        </w:tc>
        <w:tc>
          <w:tcPr>
            <w:tcW w:type="dxa" w:w="1440"/>
            <w:shd w:val="clear" w:color="auto" w:fill="FFFFFF"/>
            <w:vAlign w:val="center"/>
          </w:tcPr>
          <w:p>
            <w:pPr>
              <w:spacing w:before="40" w:after="40"/>
            </w:pPr>
            <w:r>
              <w:rPr>
                <w:b w:val="0"/>
                <w:color w:val="17212D"/>
                <w:sz w:val="18"/>
              </w:rPr>
              <w:t>0</w:t>
            </w:r>
          </w:p>
        </w:tc>
        <w:tc>
          <w:tcPr>
            <w:tcW w:type="dxa" w:w="1440"/>
            <w:shd w:val="clear" w:color="auto" w:fill="FFFFFF"/>
            <w:vAlign w:val="center"/>
          </w:tcPr>
          <w:p>
            <w:pPr>
              <w:spacing w:before="40" w:after="40"/>
            </w:pPr>
            <w:r>
              <w:rPr>
                <w:b w:val="0"/>
                <w:color w:val="17212D"/>
                <w:sz w:val="18"/>
              </w:rPr>
              <w:t>× 0.22</w:t>
            </w:r>
          </w:p>
        </w:tc>
        <w:tc>
          <w:tcPr>
            <w:tcW w:type="dxa" w:w="4320"/>
            <w:shd w:val="clear" w:color="auto" w:fill="FFFFFF"/>
            <w:vAlign w:val="center"/>
          </w:tcPr>
          <w:p>
            <w:pPr>
              <w:spacing w:before="40" w:after="40"/>
            </w:pPr>
            <w:r>
              <w:rPr>
                <w:b w:val="0"/>
                <w:color w:val="17212D"/>
                <w:sz w:val="18"/>
              </w:rPr>
              <w:t>0.0</w:t>
            </w:r>
          </w:p>
        </w:tc>
      </w:tr>
      <w:tr>
        <w:tc>
          <w:tcPr>
            <w:tcW w:type="dxa" w:w="3168"/>
            <w:shd w:val="clear" w:color="auto" w:fill="F3EDE3"/>
            <w:vAlign w:val="center"/>
          </w:tcPr>
          <w:p>
            <w:pPr>
              <w:spacing w:before="40" w:after="40"/>
            </w:pPr>
            <w:r>
              <w:rPr>
                <w:b w:val="0"/>
                <w:color w:val="17212D"/>
                <w:sz w:val="18"/>
              </w:rPr>
              <w:t>partner_signal_score</w:t>
            </w:r>
          </w:p>
        </w:tc>
        <w:tc>
          <w:tcPr>
            <w:tcW w:type="dxa" w:w="1440"/>
            <w:shd w:val="clear" w:color="auto" w:fill="F3EDE3"/>
            <w:vAlign w:val="center"/>
          </w:tcPr>
          <w:p>
            <w:pPr>
              <w:spacing w:before="40" w:after="40"/>
            </w:pPr>
            <w:r>
              <w:rPr>
                <w:b w:val="0"/>
                <w:color w:val="17212D"/>
                <w:sz w:val="18"/>
              </w:rPr>
              <w:t>79</w:t>
            </w:r>
          </w:p>
        </w:tc>
        <w:tc>
          <w:tcPr>
            <w:tcW w:type="dxa" w:w="1440"/>
            <w:shd w:val="clear" w:color="auto" w:fill="F3EDE3"/>
            <w:vAlign w:val="center"/>
          </w:tcPr>
          <w:p>
            <w:pPr>
              <w:spacing w:before="40" w:after="40"/>
            </w:pPr>
            <w:r>
              <w:rPr>
                <w:b w:val="0"/>
                <w:color w:val="17212D"/>
                <w:sz w:val="18"/>
              </w:rPr>
              <w:t>× 0.18</w:t>
            </w:r>
          </w:p>
        </w:tc>
        <w:tc>
          <w:tcPr>
            <w:tcW w:type="dxa" w:w="4320"/>
            <w:shd w:val="clear" w:color="auto" w:fill="F3EDE3"/>
            <w:vAlign w:val="center"/>
          </w:tcPr>
          <w:p>
            <w:pPr>
              <w:spacing w:before="40" w:after="40"/>
            </w:pPr>
            <w:r>
              <w:rPr>
                <w:b w:val="0"/>
                <w:color w:val="17212D"/>
                <w:sz w:val="18"/>
              </w:rPr>
              <w:t>14.2</w:t>
            </w:r>
          </w:p>
        </w:tc>
      </w:tr>
      <w:tr>
        <w:tc>
          <w:tcPr>
            <w:tcW w:type="dxa" w:w="3168"/>
            <w:shd w:val="clear" w:color="auto" w:fill="FFFFFF"/>
            <w:vAlign w:val="center"/>
          </w:tcPr>
          <w:p>
            <w:pPr>
              <w:spacing w:before="40" w:after="40"/>
            </w:pPr>
            <w:r>
              <w:rPr>
                <w:b w:val="0"/>
                <w:color w:val="17212D"/>
                <w:sz w:val="18"/>
              </w:rPr>
              <w:t>client_history_score</w:t>
            </w:r>
          </w:p>
        </w:tc>
        <w:tc>
          <w:tcPr>
            <w:tcW w:type="dxa" w:w="1440"/>
            <w:shd w:val="clear" w:color="auto" w:fill="FFFFFF"/>
            <w:vAlign w:val="center"/>
          </w:tcPr>
          <w:p>
            <w:pPr>
              <w:spacing w:before="40" w:after="40"/>
            </w:pPr>
            <w:r>
              <w:rPr>
                <w:b w:val="0"/>
                <w:color w:val="17212D"/>
                <w:sz w:val="18"/>
              </w:rPr>
              <w:t>74</w:t>
            </w:r>
          </w:p>
        </w:tc>
        <w:tc>
          <w:tcPr>
            <w:tcW w:type="dxa" w:w="1440"/>
            <w:shd w:val="clear" w:color="auto" w:fill="FFFFFF"/>
            <w:vAlign w:val="center"/>
          </w:tcPr>
          <w:p>
            <w:pPr>
              <w:spacing w:before="40" w:after="40"/>
            </w:pPr>
            <w:r>
              <w:rPr>
                <w:b w:val="0"/>
                <w:color w:val="17212D"/>
                <w:sz w:val="18"/>
              </w:rPr>
              <w:t>× 0.10</w:t>
            </w:r>
          </w:p>
        </w:tc>
        <w:tc>
          <w:tcPr>
            <w:tcW w:type="dxa" w:w="4320"/>
            <w:shd w:val="clear" w:color="auto" w:fill="FFFFFF"/>
            <w:vAlign w:val="center"/>
          </w:tcPr>
          <w:p>
            <w:pPr>
              <w:spacing w:before="40" w:after="40"/>
            </w:pPr>
            <w:r>
              <w:rPr>
                <w:b w:val="0"/>
                <w:color w:val="17212D"/>
                <w:sz w:val="18"/>
              </w:rPr>
              <w:t>7.4</w:t>
            </w:r>
          </w:p>
        </w:tc>
      </w:tr>
      <w:tr>
        <w:tc>
          <w:tcPr>
            <w:tcW w:type="dxa" w:w="3168"/>
            <w:shd w:val="clear" w:color="auto" w:fill="F3EDE3"/>
            <w:vAlign w:val="center"/>
          </w:tcPr>
          <w:p>
            <w:pPr>
              <w:spacing w:before="40" w:after="40"/>
            </w:pPr>
            <w:r>
              <w:rPr>
                <w:b w:val="0"/>
                <w:color w:val="17212D"/>
                <w:sz w:val="18"/>
              </w:rPr>
              <w:t>campaign_history_score</w:t>
            </w:r>
          </w:p>
        </w:tc>
        <w:tc>
          <w:tcPr>
            <w:tcW w:type="dxa" w:w="1440"/>
            <w:shd w:val="clear" w:color="auto" w:fill="F3EDE3"/>
            <w:vAlign w:val="center"/>
          </w:tcPr>
          <w:p>
            <w:pPr>
              <w:spacing w:before="40" w:after="40"/>
            </w:pPr>
            <w:r>
              <w:rPr>
                <w:b w:val="0"/>
                <w:color w:val="17212D"/>
                <w:sz w:val="18"/>
              </w:rPr>
              <w:t>77</w:t>
            </w:r>
          </w:p>
        </w:tc>
        <w:tc>
          <w:tcPr>
            <w:tcW w:type="dxa" w:w="1440"/>
            <w:shd w:val="clear" w:color="auto" w:fill="F3EDE3"/>
            <w:vAlign w:val="center"/>
          </w:tcPr>
          <w:p>
            <w:pPr>
              <w:spacing w:before="40" w:after="40"/>
            </w:pPr>
            <w:r>
              <w:rPr>
                <w:b w:val="0"/>
                <w:color w:val="17212D"/>
                <w:sz w:val="18"/>
              </w:rPr>
              <w:t>× 0.08</w:t>
            </w:r>
          </w:p>
        </w:tc>
        <w:tc>
          <w:tcPr>
            <w:tcW w:type="dxa" w:w="4320"/>
            <w:shd w:val="clear" w:color="auto" w:fill="F3EDE3"/>
            <w:vAlign w:val="center"/>
          </w:tcPr>
          <w:p>
            <w:pPr>
              <w:spacing w:before="40" w:after="40"/>
            </w:pPr>
            <w:r>
              <w:rPr>
                <w:b w:val="0"/>
                <w:color w:val="17212D"/>
                <w:sz w:val="18"/>
              </w:rPr>
              <w:t>6.2</w:t>
            </w:r>
          </w:p>
        </w:tc>
      </w:tr>
      <w:tr>
        <w:tc>
          <w:tcPr>
            <w:tcW w:type="dxa" w:w="3168"/>
            <w:shd w:val="clear" w:color="auto" w:fill="FFFFFF"/>
            <w:vAlign w:val="center"/>
          </w:tcPr>
          <w:p>
            <w:pPr>
              <w:spacing w:before="40" w:after="40"/>
            </w:pPr>
            <w:r>
              <w:rPr>
                <w:b w:val="0"/>
                <w:color w:val="17212D"/>
                <w:sz w:val="18"/>
              </w:rPr>
              <w:t>data_quality_score</w:t>
            </w:r>
          </w:p>
        </w:tc>
        <w:tc>
          <w:tcPr>
            <w:tcW w:type="dxa" w:w="1440"/>
            <w:shd w:val="clear" w:color="auto" w:fill="FFFFFF"/>
            <w:vAlign w:val="center"/>
          </w:tcPr>
          <w:p>
            <w:pPr>
              <w:spacing w:before="40" w:after="40"/>
            </w:pPr>
            <w:r>
              <w:rPr>
                <w:b w:val="0"/>
                <w:color w:val="17212D"/>
                <w:sz w:val="18"/>
              </w:rPr>
              <w:t>78</w:t>
            </w:r>
          </w:p>
        </w:tc>
        <w:tc>
          <w:tcPr>
            <w:tcW w:type="dxa" w:w="1440"/>
            <w:shd w:val="clear" w:color="auto" w:fill="FFFFFF"/>
            <w:vAlign w:val="center"/>
          </w:tcPr>
          <w:p>
            <w:pPr>
              <w:spacing w:before="40" w:after="40"/>
            </w:pPr>
            <w:r>
              <w:rPr>
                <w:b w:val="0"/>
                <w:color w:val="17212D"/>
                <w:sz w:val="18"/>
              </w:rPr>
              <w:t>× 0.08</w:t>
            </w:r>
          </w:p>
        </w:tc>
        <w:tc>
          <w:tcPr>
            <w:tcW w:type="dxa" w:w="4320"/>
            <w:shd w:val="clear" w:color="auto" w:fill="FFFFFF"/>
            <w:vAlign w:val="center"/>
          </w:tcPr>
          <w:p>
            <w:pPr>
              <w:spacing w:before="40" w:after="40"/>
            </w:pPr>
            <w:r>
              <w:rPr>
                <w:b w:val="0"/>
                <w:color w:val="17212D"/>
                <w:sz w:val="18"/>
              </w:rPr>
              <w:t>6.2</w:t>
            </w:r>
          </w:p>
        </w:tc>
      </w:tr>
      <w:tr>
        <w:tc>
          <w:tcPr>
            <w:tcW w:type="dxa" w:w="3168"/>
            <w:shd w:val="clear" w:color="auto" w:fill="F3EDE3"/>
            <w:vAlign w:val="center"/>
          </w:tcPr>
          <w:p>
            <w:pPr>
              <w:spacing w:before="40" w:after="40"/>
            </w:pPr>
            <w:r>
              <w:rPr>
                <w:b w:val="0"/>
                <w:color w:val="17212D"/>
                <w:sz w:val="18"/>
              </w:rPr>
              <w:t>icp_match_score</w:t>
            </w:r>
          </w:p>
        </w:tc>
        <w:tc>
          <w:tcPr>
            <w:tcW w:type="dxa" w:w="1440"/>
            <w:shd w:val="clear" w:color="auto" w:fill="F3EDE3"/>
            <w:vAlign w:val="center"/>
          </w:tcPr>
          <w:p>
            <w:pPr>
              <w:spacing w:before="40" w:after="40"/>
            </w:pPr>
            <w:r>
              <w:rPr>
                <w:b w:val="0"/>
                <w:color w:val="17212D"/>
                <w:sz w:val="18"/>
              </w:rPr>
              <w:t>67</w:t>
            </w:r>
          </w:p>
        </w:tc>
        <w:tc>
          <w:tcPr>
            <w:tcW w:type="dxa" w:w="1440"/>
            <w:shd w:val="clear" w:color="auto" w:fill="F3EDE3"/>
            <w:vAlign w:val="center"/>
          </w:tcPr>
          <w:p>
            <w:pPr>
              <w:spacing w:before="40" w:after="40"/>
            </w:pPr>
            <w:r>
              <w:rPr>
                <w:b w:val="0"/>
                <w:color w:val="17212D"/>
                <w:sz w:val="18"/>
              </w:rPr>
              <w:t>× 0.06</w:t>
            </w:r>
          </w:p>
        </w:tc>
        <w:tc>
          <w:tcPr>
            <w:tcW w:type="dxa" w:w="4320"/>
            <w:shd w:val="clear" w:color="auto" w:fill="F3EDE3"/>
            <w:vAlign w:val="center"/>
          </w:tcPr>
          <w:p>
            <w:pPr>
              <w:spacing w:before="40" w:after="40"/>
            </w:pPr>
            <w:r>
              <w:rPr>
                <w:b w:val="0"/>
                <w:color w:val="17212D"/>
                <w:sz w:val="18"/>
              </w:rPr>
              <w:t>4.0</w:t>
            </w:r>
          </w:p>
        </w:tc>
      </w:tr>
      <w:tr>
        <w:tc>
          <w:tcPr>
            <w:tcW w:type="dxa" w:w="3168"/>
            <w:shd w:val="clear" w:color="auto" w:fill="FFFFFF"/>
            <w:vAlign w:val="center"/>
          </w:tcPr>
          <w:p>
            <w:pPr>
              <w:spacing w:before="40" w:after="40"/>
            </w:pPr>
            <w:r>
              <w:rPr>
                <w:b w:val="0"/>
                <w:color w:val="17212D"/>
                <w:sz w:val="18"/>
              </w:rPr>
              <w:t>TOTAL</w:t>
            </w:r>
          </w:p>
        </w:tc>
        <w:tc>
          <w:tcPr>
            <w:tcW w:type="dxa" w:w="1440"/>
            <w:shd w:val="clear" w:color="auto" w:fill="FFFFFF"/>
            <w:vAlign w:val="center"/>
          </w:tcPr>
          <w:p>
            <w:pPr>
              <w:spacing w:before="40" w:after="40"/>
            </w:pPr>
            <w:r>
              <w:rPr>
                <w:b w:val="0"/>
                <w:color w:val="17212D"/>
                <w:sz w:val="18"/>
              </w:rPr>
            </w:r>
          </w:p>
        </w:tc>
        <w:tc>
          <w:tcPr>
            <w:tcW w:type="dxa" w:w="1440"/>
            <w:shd w:val="clear" w:color="auto" w:fill="FFFFFF"/>
            <w:vAlign w:val="center"/>
          </w:tcPr>
          <w:p>
            <w:pPr>
              <w:spacing w:before="40" w:after="40"/>
            </w:pPr>
            <w:r>
              <w:rPr>
                <w:b w:val="0"/>
                <w:color w:val="17212D"/>
                <w:sz w:val="18"/>
              </w:rPr>
            </w:r>
          </w:p>
        </w:tc>
        <w:tc>
          <w:tcPr>
            <w:tcW w:type="dxa" w:w="4320"/>
            <w:shd w:val="clear" w:color="auto" w:fill="FFFFFF"/>
            <w:vAlign w:val="center"/>
          </w:tcPr>
          <w:p>
            <w:pPr>
              <w:spacing w:before="40" w:after="40"/>
            </w:pPr>
            <w:r>
              <w:rPr>
                <w:b/>
                <w:color w:val="17212D"/>
                <w:sz w:val="18"/>
              </w:rPr>
              <w:t>57.0 → predicted: approved, decision: review</w:t>
            </w:r>
          </w:p>
        </w:tc>
      </w:tr>
    </w:tbl>
    <w:p/>
    <w:p>
      <w:pPr>
        <w:spacing w:before="40" w:after="80"/>
      </w:pPr>
      <w:r>
        <w:rPr>
          <w:i w:val="0"/>
          <w:color w:val="17212D"/>
          <w:sz w:val="20"/>
        </w:rPr>
        <w:t>This is why leads with no engagement columns in the CSV score low. Intent carries 22% of the weight and is 0 without event data. A BOFU lead with one email click + one download gains approximately 18–24 additional intent points, lifting a 57 → 75+ score (deliver territory).</w:t>
      </w:r>
    </w:p>
    <w:p>
      <w:pPr>
        <w:spacing w:before="440" w:after="120"/>
      </w:pPr>
      <w:r>
        <w:rPr>
          <w:b/>
          <w:color w:val="BA4B26"/>
          <w:sz w:val="40"/>
        </w:rPr>
        <w:t>6. Score Calculation — ML Mode (Current Runtime)</w:t>
      </w:r>
    </w:p>
    <w:p>
      <w:pPr>
        <w:spacing w:before="40" w:after="80"/>
      </w:pPr>
      <w:r>
        <w:rPr>
          <w:i w:val="0"/>
          <w:color w:val="17212D"/>
          <w:sz w:val="20"/>
        </w:rPr>
        <w:t>The promoted LightGBM model receives the 14-feature vector and calls predict_proba(vector)[0][1] — the probability of class 1 (approved) — and multiplies by 100 to produce the approval_score.</w:t>
      </w:r>
    </w:p>
    <w:p>
      <w:pPr>
        <w:spacing w:before="320" w:after="80"/>
      </w:pPr>
      <w:r>
        <w:rPr>
          <w:b/>
          <w:color w:val="17212D"/>
          <w:sz w:val="26"/>
        </w:rPr>
        <w:t>Key ML model properties</w:t>
      </w:r>
    </w:p>
    <w:p>
      <w:pPr>
        <w:pStyle w:val="ListBullet"/>
        <w:spacing w:before="20" w:after="40"/>
        <w:ind w:left="360"/>
      </w:pPr>
      <w:r>
        <w:rPr>
          <w:color w:val="17212D"/>
          <w:sz w:val="20"/>
        </w:rPr>
        <w:t>Algorithm: LightGBM (gradient boosting, tree-based)</w:t>
      </w:r>
    </w:p>
    <w:p>
      <w:pPr>
        <w:pStyle w:val="ListBullet"/>
        <w:spacing w:before="20" w:after="40"/>
        <w:ind w:left="360"/>
      </w:pPr>
      <w:r>
        <w:rPr>
          <w:color w:val="17212D"/>
          <w:sz w:val="20"/>
        </w:rPr>
        <w:t>Trained: April 2, 2026 on prd_feature_table_full.csv</w:t>
      </w:r>
    </w:p>
    <w:p>
      <w:pPr>
        <w:pStyle w:val="ListBullet"/>
        <w:spacing w:before="20" w:after="40"/>
        <w:ind w:left="360"/>
      </w:pPr>
      <w:r>
        <w:rPr>
          <w:color w:val="17212D"/>
          <w:sz w:val="20"/>
        </w:rPr>
        <w:t>Split: 80% train / 20% test, stratified random (no timestamp column found — temporal split was not used)</w:t>
      </w:r>
    </w:p>
    <w:p>
      <w:pPr>
        <w:pStyle w:val="ListBullet"/>
        <w:spacing w:before="20" w:after="40"/>
        <w:ind w:left="360"/>
      </w:pPr>
      <w:r>
        <w:rPr>
          <w:color w:val="17212D"/>
          <w:sz w:val="20"/>
        </w:rPr>
        <w:t>Class imbalance: balanced sample weights applied during fit</w:t>
      </w:r>
    </w:p>
    <w:p>
      <w:pPr>
        <w:pStyle w:val="ListBullet"/>
        <w:spacing w:before="20" w:after="40"/>
        <w:ind w:left="360"/>
      </w:pPr>
      <w:r>
        <w:rPr>
          <w:color w:val="17212D"/>
          <w:sz w:val="20"/>
        </w:rPr>
        <w:t>Calibration: NONE — predict_proba() outputs are raw probabilities, not calibrated to real approval rates</w:t>
      </w:r>
    </w:p>
    <w:p>
      <w:pPr>
        <w:pStyle w:val="ListBullet"/>
        <w:spacing w:before="20" w:after="40"/>
        <w:ind w:left="360"/>
      </w:pPr>
      <w:r>
        <w:rPr>
          <w:color w:val="17212D"/>
          <w:sz w:val="20"/>
        </w:rPr>
        <w:t>n_estimators: 200, learning_rate: 0.05, max_depth: 4, subsample: 0.80</w:t>
      </w:r>
    </w:p>
    <w:p>
      <w:pPr>
        <w:spacing w:before="320" w:after="80"/>
      </w:pPr>
      <w:r>
        <w:rPr>
          <w:b/>
          <w:color w:val="17212D"/>
          <w:sz w:val="26"/>
        </w:rPr>
        <w:t>Model performance metrics</w:t>
      </w:r>
    </w:p>
    <w:tbl>
      <w:tblPr>
        <w:tblStyle w:val="TableGrid"/>
        <w:tblW w:type="auto" w:w="0"/>
        <w:tblLook w:firstColumn="1" w:firstRow="1" w:lastColumn="0" w:lastRow="0" w:noHBand="0" w:noVBand="1" w:val="04A0"/>
      </w:tblPr>
      <w:tblGrid>
        <w:gridCol w:w="3024"/>
        <w:gridCol w:w="3024"/>
        <w:gridCol w:w="3024"/>
      </w:tblGrid>
      <w:tr>
        <w:tc>
          <w:tcPr>
            <w:tcW w:type="dxa" w:w="2592"/>
            <w:vAlign w:val="center"/>
            <w:shd w:val="clear" w:color="auto" w:fill="0F7A6B"/>
          </w:tcPr>
          <w:p>
            <w:pPr>
              <w:spacing w:before="60" w:after="60"/>
            </w:pPr>
            <w:r>
              <w:rPr>
                <w:b/>
                <w:color w:val="FFFFFF"/>
                <w:sz w:val="18"/>
              </w:rPr>
              <w:t>Metric</w:t>
            </w:r>
          </w:p>
        </w:tc>
        <w:tc>
          <w:tcPr>
            <w:tcW w:type="dxa" w:w="1440"/>
            <w:vAlign w:val="center"/>
            <w:shd w:val="clear" w:color="auto" w:fill="0F7A6B"/>
          </w:tcPr>
          <w:p>
            <w:pPr>
              <w:spacing w:before="60" w:after="60"/>
            </w:pPr>
            <w:r>
              <w:rPr>
                <w:b/>
                <w:color w:val="FFFFFF"/>
                <w:sz w:val="18"/>
              </w:rPr>
              <w:t>Value</w:t>
            </w:r>
          </w:p>
        </w:tc>
        <w:tc>
          <w:tcPr>
            <w:tcW w:type="dxa" w:w="6048"/>
            <w:vAlign w:val="center"/>
            <w:shd w:val="clear" w:color="auto" w:fill="0F7A6B"/>
          </w:tcPr>
          <w:p>
            <w:pPr>
              <w:spacing w:before="60" w:after="60"/>
            </w:pPr>
            <w:r>
              <w:rPr>
                <w:b/>
                <w:color w:val="FFFFFF"/>
                <w:sz w:val="18"/>
              </w:rPr>
              <w:t>What it means</w:t>
            </w:r>
          </w:p>
        </w:tc>
      </w:tr>
      <w:tr>
        <w:tc>
          <w:tcPr>
            <w:tcW w:type="dxa" w:w="2592"/>
            <w:shd w:val="clear" w:color="auto" w:fill="F3EDE3"/>
            <w:vAlign w:val="center"/>
          </w:tcPr>
          <w:p>
            <w:pPr>
              <w:spacing w:before="40" w:after="40"/>
            </w:pPr>
            <w:r>
              <w:rPr>
                <w:b w:val="0"/>
                <w:color w:val="17212D"/>
                <w:sz w:val="18"/>
              </w:rPr>
              <w:t>AUC-ROC</w:t>
            </w:r>
          </w:p>
        </w:tc>
        <w:tc>
          <w:tcPr>
            <w:tcW w:type="dxa" w:w="1440"/>
            <w:shd w:val="clear" w:color="auto" w:fill="F3EDE3"/>
            <w:vAlign w:val="center"/>
          </w:tcPr>
          <w:p>
            <w:pPr>
              <w:spacing w:before="40" w:after="40"/>
            </w:pPr>
            <w:r>
              <w:rPr>
                <w:b w:val="0"/>
                <w:color w:val="17212D"/>
                <w:sz w:val="18"/>
              </w:rPr>
              <w:t>0.748</w:t>
            </w:r>
          </w:p>
        </w:tc>
        <w:tc>
          <w:tcPr>
            <w:tcW w:type="dxa" w:w="6048"/>
            <w:shd w:val="clear" w:color="auto" w:fill="F3EDE3"/>
            <w:vAlign w:val="center"/>
          </w:tcPr>
          <w:p>
            <w:pPr>
              <w:spacing w:before="40" w:after="40"/>
            </w:pPr>
            <w:r>
              <w:rPr>
                <w:b w:val="0"/>
                <w:color w:val="17212D"/>
                <w:sz w:val="18"/>
              </w:rPr>
              <w:t>Model separates approved/rejected 74.8% of the time (random = 0.50, perfect = 1.0)</w:t>
            </w:r>
          </w:p>
        </w:tc>
      </w:tr>
      <w:tr>
        <w:tc>
          <w:tcPr>
            <w:tcW w:type="dxa" w:w="2592"/>
            <w:shd w:val="clear" w:color="auto" w:fill="FFFFFF"/>
            <w:vAlign w:val="center"/>
          </w:tcPr>
          <w:p>
            <w:pPr>
              <w:spacing w:before="40" w:after="40"/>
            </w:pPr>
            <w:r>
              <w:rPr>
                <w:b w:val="0"/>
                <w:color w:val="17212D"/>
                <w:sz w:val="18"/>
              </w:rPr>
              <w:t>CV AUC mean</w:t>
            </w:r>
          </w:p>
        </w:tc>
        <w:tc>
          <w:tcPr>
            <w:tcW w:type="dxa" w:w="1440"/>
            <w:shd w:val="clear" w:color="auto" w:fill="FFFFFF"/>
            <w:vAlign w:val="center"/>
          </w:tcPr>
          <w:p>
            <w:pPr>
              <w:spacing w:before="40" w:after="40"/>
            </w:pPr>
            <w:r>
              <w:rPr>
                <w:b w:val="0"/>
                <w:color w:val="17212D"/>
                <w:sz w:val="18"/>
              </w:rPr>
              <w:t>0.752 ± 0.003</w:t>
            </w:r>
          </w:p>
        </w:tc>
        <w:tc>
          <w:tcPr>
            <w:tcW w:type="dxa" w:w="6048"/>
            <w:shd w:val="clear" w:color="auto" w:fill="FFFFFF"/>
            <w:vAlign w:val="center"/>
          </w:tcPr>
          <w:p>
            <w:pPr>
              <w:spacing w:before="40" w:after="40"/>
            </w:pPr>
            <w:r>
              <w:rPr>
                <w:b w:val="0"/>
                <w:color w:val="17212D"/>
                <w:sz w:val="18"/>
              </w:rPr>
              <w:t>Stable across 5 folds — not overfitting</w:t>
            </w:r>
          </w:p>
        </w:tc>
      </w:tr>
      <w:tr>
        <w:tc>
          <w:tcPr>
            <w:tcW w:type="dxa" w:w="2592"/>
            <w:shd w:val="clear" w:color="auto" w:fill="F3EDE3"/>
            <w:vAlign w:val="center"/>
          </w:tcPr>
          <w:p>
            <w:pPr>
              <w:spacing w:before="40" w:after="40"/>
            </w:pPr>
            <w:r>
              <w:rPr>
                <w:b w:val="0"/>
                <w:color w:val="17212D"/>
                <w:sz w:val="18"/>
              </w:rPr>
              <w:t>PR-AUC</w:t>
            </w:r>
          </w:p>
        </w:tc>
        <w:tc>
          <w:tcPr>
            <w:tcW w:type="dxa" w:w="1440"/>
            <w:shd w:val="clear" w:color="auto" w:fill="F3EDE3"/>
            <w:vAlign w:val="center"/>
          </w:tcPr>
          <w:p>
            <w:pPr>
              <w:spacing w:before="40" w:after="40"/>
            </w:pPr>
            <w:r>
              <w:rPr>
                <w:b w:val="0"/>
                <w:color w:val="17212D"/>
                <w:sz w:val="18"/>
              </w:rPr>
              <w:t>0.962</w:t>
            </w:r>
          </w:p>
        </w:tc>
        <w:tc>
          <w:tcPr>
            <w:tcW w:type="dxa" w:w="6048"/>
            <w:shd w:val="clear" w:color="auto" w:fill="F3EDE3"/>
            <w:vAlign w:val="center"/>
          </w:tcPr>
          <w:p>
            <w:pPr>
              <w:spacing w:before="40" w:after="40"/>
            </w:pPr>
            <w:r>
              <w:rPr>
                <w:b w:val="0"/>
                <w:color w:val="17212D"/>
                <w:sz w:val="18"/>
              </w:rPr>
              <w:t>High precision-recall trade-off — strong at identifying the positives</w:t>
            </w:r>
          </w:p>
        </w:tc>
      </w:tr>
      <w:tr>
        <w:tc>
          <w:tcPr>
            <w:tcW w:type="dxa" w:w="2592"/>
            <w:shd w:val="clear" w:color="auto" w:fill="FFFFFF"/>
            <w:vAlign w:val="center"/>
          </w:tcPr>
          <w:p>
            <w:pPr>
              <w:spacing w:before="40" w:after="40"/>
            </w:pPr>
            <w:r>
              <w:rPr>
                <w:b w:val="0"/>
                <w:color w:val="17212D"/>
                <w:sz w:val="18"/>
              </w:rPr>
              <w:t>Brier score</w:t>
            </w:r>
          </w:p>
        </w:tc>
        <w:tc>
          <w:tcPr>
            <w:tcW w:type="dxa" w:w="1440"/>
            <w:shd w:val="clear" w:color="auto" w:fill="FFFFFF"/>
            <w:vAlign w:val="center"/>
          </w:tcPr>
          <w:p>
            <w:pPr>
              <w:spacing w:before="40" w:after="40"/>
            </w:pPr>
            <w:r>
              <w:rPr>
                <w:b w:val="0"/>
                <w:color w:val="17212D"/>
                <w:sz w:val="18"/>
              </w:rPr>
              <w:t>0.182</w:t>
            </w:r>
          </w:p>
        </w:tc>
        <w:tc>
          <w:tcPr>
            <w:tcW w:type="dxa" w:w="6048"/>
            <w:shd w:val="clear" w:color="auto" w:fill="FFFFFF"/>
            <w:vAlign w:val="center"/>
          </w:tcPr>
          <w:p>
            <w:pPr>
              <w:spacing w:before="40" w:after="40"/>
            </w:pPr>
            <w:r>
              <w:rPr>
                <w:b w:val="0"/>
                <w:color w:val="17212D"/>
                <w:sz w:val="18"/>
              </w:rPr>
              <w:t>Lower is better (0 = perfect). Moderate calibration quality</w:t>
            </w:r>
          </w:p>
        </w:tc>
      </w:tr>
      <w:tr>
        <w:tc>
          <w:tcPr>
            <w:tcW w:type="dxa" w:w="2592"/>
            <w:shd w:val="clear" w:color="auto" w:fill="F3EDE3"/>
            <w:vAlign w:val="center"/>
          </w:tcPr>
          <w:p>
            <w:pPr>
              <w:spacing w:before="40" w:after="40"/>
            </w:pPr>
            <w:r>
              <w:rPr>
                <w:b w:val="0"/>
                <w:color w:val="17212D"/>
                <w:sz w:val="18"/>
              </w:rPr>
              <w:t>KS statistic</w:t>
            </w:r>
          </w:p>
        </w:tc>
        <w:tc>
          <w:tcPr>
            <w:tcW w:type="dxa" w:w="1440"/>
            <w:shd w:val="clear" w:color="auto" w:fill="F3EDE3"/>
            <w:vAlign w:val="center"/>
          </w:tcPr>
          <w:p>
            <w:pPr>
              <w:spacing w:before="40" w:after="40"/>
            </w:pPr>
            <w:r>
              <w:rPr>
                <w:b w:val="0"/>
                <w:color w:val="17212D"/>
                <w:sz w:val="18"/>
              </w:rPr>
              <w:t>0.378</w:t>
            </w:r>
          </w:p>
        </w:tc>
        <w:tc>
          <w:tcPr>
            <w:tcW w:type="dxa" w:w="6048"/>
            <w:shd w:val="clear" w:color="auto" w:fill="F3EDE3"/>
            <w:vAlign w:val="center"/>
          </w:tcPr>
          <w:p>
            <w:pPr>
              <w:spacing w:before="40" w:after="40"/>
            </w:pPr>
            <w:r>
              <w:rPr>
                <w:b w:val="0"/>
                <w:color w:val="17212D"/>
                <w:sz w:val="18"/>
              </w:rPr>
              <w:t>Max separation between approved/rejected CDFs — moderate discrimination</w:t>
            </w:r>
          </w:p>
        </w:tc>
      </w:tr>
      <w:tr>
        <w:tc>
          <w:tcPr>
            <w:tcW w:type="dxa" w:w="2592"/>
            <w:shd w:val="clear" w:color="auto" w:fill="FFFFFF"/>
            <w:vAlign w:val="center"/>
          </w:tcPr>
          <w:p>
            <w:pPr>
              <w:spacing w:before="40" w:after="40"/>
            </w:pPr>
            <w:r>
              <w:rPr>
                <w:b w:val="0"/>
                <w:color w:val="17212D"/>
                <w:sz w:val="18"/>
              </w:rPr>
              <w:t>Lift @ top 10%</w:t>
            </w:r>
          </w:p>
        </w:tc>
        <w:tc>
          <w:tcPr>
            <w:tcW w:type="dxa" w:w="1440"/>
            <w:shd w:val="clear" w:color="auto" w:fill="FFFFFF"/>
            <w:vAlign w:val="center"/>
          </w:tcPr>
          <w:p>
            <w:pPr>
              <w:spacing w:before="40" w:after="40"/>
            </w:pPr>
            <w:r>
              <w:rPr>
                <w:b w:val="0"/>
                <w:color w:val="17212D"/>
                <w:sz w:val="18"/>
              </w:rPr>
              <w:t>1.09×</w:t>
            </w:r>
          </w:p>
        </w:tc>
        <w:tc>
          <w:tcPr>
            <w:tcW w:type="dxa" w:w="6048"/>
            <w:shd w:val="clear" w:color="auto" w:fill="FFFFFF"/>
            <w:vAlign w:val="center"/>
          </w:tcPr>
          <w:p>
            <w:pPr>
              <w:spacing w:before="40" w:after="40"/>
            </w:pPr>
            <w:r>
              <w:rPr>
                <w:b w:val="0"/>
                <w:color w:val="B63A3A"/>
                <w:sz w:val="18"/>
              </w:rPr>
              <w:t>Very low — top 10% of leads are only 1.09× more likely to be approved than random</w:t>
            </w:r>
          </w:p>
        </w:tc>
      </w:tr>
      <w:tr>
        <w:tc>
          <w:tcPr>
            <w:tcW w:type="dxa" w:w="2592"/>
            <w:shd w:val="clear" w:color="auto" w:fill="F3EDE3"/>
            <w:vAlign w:val="center"/>
          </w:tcPr>
          <w:p>
            <w:pPr>
              <w:spacing w:before="40" w:after="40"/>
            </w:pPr>
            <w:r>
              <w:rPr>
                <w:b w:val="0"/>
                <w:color w:val="17212D"/>
                <w:sz w:val="18"/>
              </w:rPr>
              <w:t>Top decile precision</w:t>
            </w:r>
          </w:p>
        </w:tc>
        <w:tc>
          <w:tcPr>
            <w:tcW w:type="dxa" w:w="1440"/>
            <w:shd w:val="clear" w:color="auto" w:fill="F3EDE3"/>
            <w:vAlign w:val="center"/>
          </w:tcPr>
          <w:p>
            <w:pPr>
              <w:spacing w:before="40" w:after="40"/>
            </w:pPr>
            <w:r>
              <w:rPr>
                <w:b w:val="0"/>
                <w:color w:val="17212D"/>
                <w:sz w:val="18"/>
              </w:rPr>
              <w:t>98.6%</w:t>
            </w:r>
          </w:p>
        </w:tc>
        <w:tc>
          <w:tcPr>
            <w:tcW w:type="dxa" w:w="6048"/>
            <w:shd w:val="clear" w:color="auto" w:fill="F3EDE3"/>
            <w:vAlign w:val="center"/>
          </w:tcPr>
          <w:p>
            <w:pPr>
              <w:spacing w:before="40" w:after="40"/>
            </w:pPr>
            <w:r>
              <w:rPr>
                <w:b w:val="0"/>
                <w:color w:val="17212D"/>
                <w:sz w:val="18"/>
              </w:rPr>
              <w:t>Near-perfect precision in the top 10% scored leads</w:t>
            </w:r>
          </w:p>
        </w:tc>
      </w:tr>
    </w:tbl>
    <w:p/>
    <w:p>
      <w:pPr>
        <w:spacing w:before="40" w:after="80"/>
      </w:pPr>
      <w:r>
        <w:rPr>
          <w:i w:val="0"/>
          <w:color w:val="B63A3A"/>
          <w:sz w:val="20"/>
        </w:rPr>
        <w:t>The 1.09× lift at top 10% is a red flag. In a well-performing lead scoring model, this should be 2–3×. It suggests the model is not effectively rank-ordering leads — the top-scored leads are barely better than average. This is consistent with the known architectural limitation: the model is trained on compressed heuristic scores, not raw signals.</w:t>
      </w:r>
    </w:p>
    <w:p>
      <w:pPr>
        <w:spacing w:before="320" w:after="80"/>
      </w:pPr>
      <w:r>
        <w:rPr>
          <w:b/>
          <w:color w:val="17212D"/>
          <w:sz w:val="26"/>
        </w:rPr>
        <w:t>Calibration warning</w:t>
      </w:r>
    </w:p>
    <w:p>
      <w:pPr>
        <w:spacing w:before="40" w:after="80"/>
      </w:pPr>
      <w:r>
        <w:rPr>
          <w:i w:val="0"/>
          <w:color w:val="C78A2C"/>
          <w:sz w:val="20"/>
        </w:rPr>
        <w:t>The model is NOT calibrated. This means a predict_proba() output of 0.72 does NOT mean there is a 72% chance the lead will be approved. The raw probability is uncalibrated and should not be interpreted as a true probability. Calibration (Platt scaling) is supported in the codebase (CalibratedClassifierCV) but requires ≥ 60 training samples to activate. Whether this threshold was met during the April 2 training run is unknown — the metadata records calibrated: false.</w:t>
      </w:r>
    </w:p>
    <w:p>
      <w:pPr>
        <w:spacing w:before="440" w:after="120"/>
      </w:pPr>
      <w:r>
        <w:rPr>
          <w:b/>
          <w:color w:val="BA4B26"/>
          <w:sz w:val="40"/>
        </w:rPr>
        <w:t>7. Decision Thresholds</w:t>
      </w:r>
    </w:p>
    <w:p>
      <w:pPr>
        <w:spacing w:before="40" w:after="80"/>
      </w:pPr>
      <w:r>
        <w:rPr>
          <w:i w:val="0"/>
          <w:color w:val="17212D"/>
          <w:sz w:val="20"/>
        </w:rPr>
        <w:t>These thresholds are business-defined in config/platform_config.yaml. They are NOT model-derived.</w:t>
      </w:r>
    </w:p>
    <w:tbl>
      <w:tblPr>
        <w:tblStyle w:val="TableGrid"/>
        <w:tblW w:type="auto" w:w="0"/>
        <w:tblLook w:firstColumn="1" w:firstRow="1" w:lastColumn="0" w:lastRow="0" w:noHBand="0" w:noVBand="1" w:val="04A0"/>
      </w:tblPr>
      <w:tblGrid>
        <w:gridCol w:w="2268"/>
        <w:gridCol w:w="2268"/>
        <w:gridCol w:w="2268"/>
        <w:gridCol w:w="2268"/>
      </w:tblGrid>
      <w:tr>
        <w:tc>
          <w:tcPr>
            <w:tcW w:type="dxa" w:w="2880"/>
            <w:vAlign w:val="center"/>
            <w:shd w:val="clear" w:color="auto" w:fill="17212D"/>
          </w:tcPr>
          <w:p>
            <w:pPr>
              <w:spacing w:before="60" w:after="60"/>
            </w:pPr>
            <w:r>
              <w:rPr>
                <w:b/>
                <w:color w:val="FFFFFF"/>
                <w:sz w:val="18"/>
              </w:rPr>
              <w:t>Threshold</w:t>
            </w:r>
          </w:p>
        </w:tc>
        <w:tc>
          <w:tcPr>
            <w:tcW w:type="dxa" w:w="1440"/>
            <w:vAlign w:val="center"/>
            <w:shd w:val="clear" w:color="auto" w:fill="17212D"/>
          </w:tcPr>
          <w:p>
            <w:pPr>
              <w:spacing w:before="60" w:after="60"/>
            </w:pPr>
            <w:r>
              <w:rPr>
                <w:b/>
                <w:color w:val="FFFFFF"/>
                <w:sz w:val="18"/>
              </w:rPr>
              <w:t>Value</w:t>
            </w:r>
          </w:p>
        </w:tc>
        <w:tc>
          <w:tcPr>
            <w:tcW w:type="dxa" w:w="1728"/>
            <w:vAlign w:val="center"/>
            <w:shd w:val="clear" w:color="auto" w:fill="17212D"/>
          </w:tcPr>
          <w:p>
            <w:pPr>
              <w:spacing w:before="60" w:after="60"/>
            </w:pPr>
            <w:r>
              <w:rPr>
                <w:b/>
                <w:color w:val="FFFFFF"/>
                <w:sz w:val="18"/>
              </w:rPr>
              <w:t>Decision</w:t>
            </w:r>
          </w:p>
        </w:tc>
        <w:tc>
          <w:tcPr>
            <w:tcW w:type="dxa" w:w="4032"/>
            <w:vAlign w:val="center"/>
            <w:shd w:val="clear" w:color="auto" w:fill="17212D"/>
          </w:tcPr>
          <w:p>
            <w:pPr>
              <w:spacing w:before="60" w:after="60"/>
            </w:pPr>
            <w:r>
              <w:rPr>
                <w:b/>
                <w:color w:val="FFFFFF"/>
                <w:sz w:val="18"/>
              </w:rPr>
              <w:t>Meaning</w:t>
            </w:r>
          </w:p>
        </w:tc>
      </w:tr>
      <w:tr>
        <w:tc>
          <w:tcPr>
            <w:tcW w:type="dxa" w:w="2880"/>
            <w:shd w:val="clear" w:color="auto" w:fill="F3EDE3"/>
            <w:vAlign w:val="center"/>
          </w:tcPr>
          <w:p>
            <w:pPr>
              <w:spacing w:before="40" w:after="40"/>
            </w:pPr>
            <w:r>
              <w:rPr>
                <w:b w:val="0"/>
                <w:color w:val="17212D"/>
                <w:sz w:val="18"/>
              </w:rPr>
              <w:t>deliver_score</w:t>
            </w:r>
          </w:p>
        </w:tc>
        <w:tc>
          <w:tcPr>
            <w:tcW w:type="dxa" w:w="1440"/>
            <w:shd w:val="clear" w:color="auto" w:fill="F3EDE3"/>
            <w:vAlign w:val="center"/>
          </w:tcPr>
          <w:p>
            <w:pPr>
              <w:spacing w:before="40" w:after="40"/>
            </w:pPr>
            <w:r>
              <w:rPr>
                <w:b w:val="0"/>
                <w:color w:val="17212D"/>
                <w:sz w:val="18"/>
              </w:rPr>
              <w:t>≥ 68</w:t>
            </w:r>
          </w:p>
        </w:tc>
        <w:tc>
          <w:tcPr>
            <w:tcW w:type="dxa" w:w="1728"/>
            <w:shd w:val="clear" w:color="auto" w:fill="F3EDE3"/>
            <w:vAlign w:val="center"/>
          </w:tcPr>
          <w:p>
            <w:pPr>
              <w:spacing w:before="40" w:after="40"/>
            </w:pPr>
            <w:r>
              <w:rPr>
                <w:b/>
                <w:color w:val="0F7A6B"/>
                <w:sz w:val="18"/>
              </w:rPr>
              <w:t>DELIVER</w:t>
            </w:r>
          </w:p>
        </w:tc>
        <w:tc>
          <w:tcPr>
            <w:tcW w:type="dxa" w:w="4032"/>
            <w:shd w:val="clear" w:color="auto" w:fill="F3EDE3"/>
            <w:vAlign w:val="center"/>
          </w:tcPr>
          <w:p>
            <w:pPr>
              <w:spacing w:before="40" w:after="40"/>
            </w:pPr>
            <w:r>
              <w:rPr>
                <w:b w:val="0"/>
                <w:color w:val="17212D"/>
                <w:sz w:val="18"/>
              </w:rPr>
              <w:t>Immediate delivery — high confidence</w:t>
            </w:r>
          </w:p>
        </w:tc>
      </w:tr>
      <w:tr>
        <w:tc>
          <w:tcPr>
            <w:tcW w:type="dxa" w:w="2880"/>
            <w:shd w:val="clear" w:color="auto" w:fill="FFFFFF"/>
            <w:vAlign w:val="center"/>
          </w:tcPr>
          <w:p>
            <w:pPr>
              <w:spacing w:before="40" w:after="40"/>
            </w:pPr>
            <w:r>
              <w:rPr>
                <w:b w:val="0"/>
                <w:color w:val="17212D"/>
                <w:sz w:val="18"/>
              </w:rPr>
              <w:t>review_score</w:t>
            </w:r>
          </w:p>
        </w:tc>
        <w:tc>
          <w:tcPr>
            <w:tcW w:type="dxa" w:w="1440"/>
            <w:shd w:val="clear" w:color="auto" w:fill="FFFFFF"/>
            <w:vAlign w:val="center"/>
          </w:tcPr>
          <w:p>
            <w:pPr>
              <w:spacing w:before="40" w:after="40"/>
            </w:pPr>
            <w:r>
              <w:rPr>
                <w:b w:val="0"/>
                <w:color w:val="17212D"/>
                <w:sz w:val="18"/>
              </w:rPr>
              <w:t>50–67</w:t>
            </w:r>
          </w:p>
        </w:tc>
        <w:tc>
          <w:tcPr>
            <w:tcW w:type="dxa" w:w="1728"/>
            <w:shd w:val="clear" w:color="auto" w:fill="FFFFFF"/>
            <w:vAlign w:val="center"/>
          </w:tcPr>
          <w:p>
            <w:pPr>
              <w:spacing w:before="40" w:after="40"/>
            </w:pPr>
            <w:r>
              <w:rPr>
                <w:b/>
                <w:color w:val="C78A2C"/>
                <w:sz w:val="18"/>
              </w:rPr>
              <w:t>REVIEW</w:t>
            </w:r>
          </w:p>
        </w:tc>
        <w:tc>
          <w:tcPr>
            <w:tcW w:type="dxa" w:w="4032"/>
            <w:shd w:val="clear" w:color="auto" w:fill="FFFFFF"/>
            <w:vAlign w:val="center"/>
          </w:tcPr>
          <w:p>
            <w:pPr>
              <w:spacing w:before="40" w:after="40"/>
            </w:pPr>
            <w:r>
              <w:rPr>
                <w:b w:val="0"/>
                <w:color w:val="17212D"/>
                <w:sz w:val="18"/>
              </w:rPr>
              <w:t>Manual review required before delivery</w:t>
            </w:r>
          </w:p>
        </w:tc>
      </w:tr>
      <w:tr>
        <w:tc>
          <w:tcPr>
            <w:tcW w:type="dxa" w:w="2880"/>
            <w:shd w:val="clear" w:color="auto" w:fill="F3EDE3"/>
            <w:vAlign w:val="center"/>
          </w:tcPr>
          <w:p>
            <w:pPr>
              <w:spacing w:before="40" w:after="40"/>
            </w:pPr>
            <w:r>
              <w:rPr>
                <w:b w:val="0"/>
                <w:color w:val="17212D"/>
                <w:sz w:val="18"/>
              </w:rPr>
              <w:t>&lt; review_score</w:t>
            </w:r>
          </w:p>
        </w:tc>
        <w:tc>
          <w:tcPr>
            <w:tcW w:type="dxa" w:w="1440"/>
            <w:shd w:val="clear" w:color="auto" w:fill="F3EDE3"/>
            <w:vAlign w:val="center"/>
          </w:tcPr>
          <w:p>
            <w:pPr>
              <w:spacing w:before="40" w:after="40"/>
            </w:pPr>
            <w:r>
              <w:rPr>
                <w:b w:val="0"/>
                <w:color w:val="17212D"/>
                <w:sz w:val="18"/>
              </w:rPr>
              <w:t>&lt; 50</w:t>
            </w:r>
          </w:p>
        </w:tc>
        <w:tc>
          <w:tcPr>
            <w:tcW w:type="dxa" w:w="1728"/>
            <w:shd w:val="clear" w:color="auto" w:fill="F3EDE3"/>
            <w:vAlign w:val="center"/>
          </w:tcPr>
          <w:p>
            <w:pPr>
              <w:spacing w:before="40" w:after="40"/>
            </w:pPr>
            <w:r>
              <w:rPr>
                <w:b/>
                <w:color w:val="B63A3A"/>
                <w:sz w:val="18"/>
              </w:rPr>
              <w:t>HOLD</w:t>
            </w:r>
          </w:p>
        </w:tc>
        <w:tc>
          <w:tcPr>
            <w:tcW w:type="dxa" w:w="4032"/>
            <w:shd w:val="clear" w:color="auto" w:fill="F3EDE3"/>
            <w:vAlign w:val="center"/>
          </w:tcPr>
          <w:p>
            <w:pPr>
              <w:spacing w:before="40" w:after="40"/>
            </w:pPr>
            <w:r>
              <w:rPr>
                <w:b w:val="0"/>
                <w:color w:val="17212D"/>
                <w:sz w:val="18"/>
              </w:rPr>
              <w:t>Do not deliver</w:t>
            </w:r>
          </w:p>
        </w:tc>
      </w:tr>
      <w:tr>
        <w:tc>
          <w:tcPr>
            <w:tcW w:type="dxa" w:w="2880"/>
            <w:shd w:val="clear" w:color="auto" w:fill="FFFFFF"/>
            <w:vAlign w:val="center"/>
          </w:tcPr>
          <w:p>
            <w:pPr>
              <w:spacing w:before="40" w:after="40"/>
            </w:pPr>
            <w:r>
              <w:rPr>
                <w:b w:val="0"/>
                <w:color w:val="17212D"/>
                <w:sz w:val="18"/>
              </w:rPr>
              <w:t>predicted_approval_score</w:t>
            </w:r>
          </w:p>
        </w:tc>
        <w:tc>
          <w:tcPr>
            <w:tcW w:type="dxa" w:w="1440"/>
            <w:shd w:val="clear" w:color="auto" w:fill="FFFFFF"/>
            <w:vAlign w:val="center"/>
          </w:tcPr>
          <w:p>
            <w:pPr>
              <w:spacing w:before="40" w:after="40"/>
            </w:pPr>
            <w:r>
              <w:rPr>
                <w:b w:val="0"/>
                <w:color w:val="17212D"/>
                <w:sz w:val="18"/>
              </w:rPr>
              <w:t>≥ 55</w:t>
            </w:r>
          </w:p>
        </w:tc>
        <w:tc>
          <w:tcPr>
            <w:tcW w:type="dxa" w:w="1728"/>
            <w:shd w:val="clear" w:color="auto" w:fill="FFFFFF"/>
            <w:vAlign w:val="center"/>
          </w:tcPr>
          <w:p>
            <w:pPr>
              <w:spacing w:before="40" w:after="40"/>
            </w:pPr>
            <w:r>
              <w:rPr>
                <w:b/>
                <w:color w:val="0F7A6B"/>
                <w:sz w:val="18"/>
              </w:rPr>
              <w:t>approved</w:t>
            </w:r>
          </w:p>
        </w:tc>
        <w:tc>
          <w:tcPr>
            <w:tcW w:type="dxa" w:w="4032"/>
            <w:shd w:val="clear" w:color="auto" w:fill="FFFFFF"/>
            <w:vAlign w:val="center"/>
          </w:tcPr>
          <w:p>
            <w:pPr>
              <w:spacing w:before="40" w:after="40"/>
            </w:pPr>
            <w:r>
              <w:rPr>
                <w:b w:val="0"/>
                <w:color w:val="17212D"/>
                <w:sz w:val="18"/>
              </w:rPr>
              <w:t>Predicted client outcome label</w:t>
            </w:r>
          </w:p>
        </w:tc>
      </w:tr>
      <w:tr>
        <w:tc>
          <w:tcPr>
            <w:tcW w:type="dxa" w:w="2880"/>
            <w:shd w:val="clear" w:color="auto" w:fill="F3EDE3"/>
            <w:vAlign w:val="center"/>
          </w:tcPr>
          <w:p>
            <w:pPr>
              <w:spacing w:before="40" w:after="40"/>
            </w:pPr>
            <w:r>
              <w:rPr>
                <w:b w:val="0"/>
                <w:color w:val="17212D"/>
                <w:sz w:val="18"/>
              </w:rPr>
              <w:t>predicted_approval_score</w:t>
            </w:r>
          </w:p>
        </w:tc>
        <w:tc>
          <w:tcPr>
            <w:tcW w:type="dxa" w:w="1440"/>
            <w:shd w:val="clear" w:color="auto" w:fill="F3EDE3"/>
            <w:vAlign w:val="center"/>
          </w:tcPr>
          <w:p>
            <w:pPr>
              <w:spacing w:before="40" w:after="40"/>
            </w:pPr>
            <w:r>
              <w:rPr>
                <w:b w:val="0"/>
                <w:color w:val="17212D"/>
                <w:sz w:val="18"/>
              </w:rPr>
              <w:t>&lt; 55</w:t>
            </w:r>
          </w:p>
        </w:tc>
        <w:tc>
          <w:tcPr>
            <w:tcW w:type="dxa" w:w="1728"/>
            <w:shd w:val="clear" w:color="auto" w:fill="F3EDE3"/>
            <w:vAlign w:val="center"/>
          </w:tcPr>
          <w:p>
            <w:pPr>
              <w:spacing w:before="40" w:after="40"/>
            </w:pPr>
            <w:r>
              <w:rPr>
                <w:b/>
                <w:color w:val="B63A3A"/>
                <w:sz w:val="18"/>
              </w:rPr>
              <w:t>rejected</w:t>
            </w:r>
          </w:p>
        </w:tc>
        <w:tc>
          <w:tcPr>
            <w:tcW w:type="dxa" w:w="4032"/>
            <w:shd w:val="clear" w:color="auto" w:fill="F3EDE3"/>
            <w:vAlign w:val="center"/>
          </w:tcPr>
          <w:p>
            <w:pPr>
              <w:spacing w:before="40" w:after="40"/>
            </w:pPr>
            <w:r>
              <w:rPr>
                <w:b w:val="0"/>
                <w:color w:val="17212D"/>
                <w:sz w:val="18"/>
              </w:rPr>
              <w:t>Predicted client outcome label</w:t>
            </w:r>
          </w:p>
        </w:tc>
      </w:tr>
    </w:tbl>
    <w:p/>
    <w:p>
      <w:pPr>
        <w:spacing w:before="440" w:after="120"/>
      </w:pPr>
      <w:r>
        <w:rPr>
          <w:b/>
          <w:color w:val="BA4B26"/>
          <w:sz w:val="40"/>
        </w:rPr>
        <w:t>8. Layer 2 — Buying Group Scoring</w:t>
      </w:r>
    </w:p>
    <w:p>
      <w:pPr>
        <w:spacing w:before="40" w:after="80"/>
      </w:pPr>
      <w:r>
        <w:rPr>
          <w:i w:val="0"/>
          <w:color w:val="17212D"/>
          <w:sz w:val="20"/>
        </w:rPr>
        <w:t>After each lead is scored, the platform aggregates all personas at the same account domain to compute a buying group summary. This is what determines BDR handoff triggers.</w:t>
      </w:r>
    </w:p>
    <w:p>
      <w:pPr>
        <w:spacing w:before="320" w:after="80"/>
      </w:pPr>
      <w:r>
        <w:rPr>
          <w:b/>
          <w:color w:val="17212D"/>
          <w:sz w:val="26"/>
        </w:rPr>
        <w:t>Buying group score formula</w:t>
      </w:r>
    </w:p>
    <w:p>
      <w:pPr>
        <w:spacing w:before="40" w:after="80"/>
      </w:pPr>
      <w:r>
        <w:rPr>
          <w:i w:val="0"/>
          <w:color w:val="17212D"/>
          <w:sz w:val="20"/>
        </w:rPr>
        <w:t>buying_group_score = (unique_functions/4 × 100 × 0.35) + (completeness × 0.25) + (journey_stage_score × 0.20) + (account_history × 0.20)</w:t>
      </w:r>
    </w:p>
    <w:tbl>
      <w:tblPr>
        <w:tblStyle w:val="TableGrid"/>
        <w:tblW w:type="auto" w:w="0"/>
        <w:tblLook w:firstColumn="1" w:firstRow="1" w:lastColumn="0" w:lastRow="0" w:noHBand="0" w:noVBand="1" w:val="04A0"/>
      </w:tblPr>
      <w:tblGrid>
        <w:gridCol w:w="2268"/>
        <w:gridCol w:w="2268"/>
        <w:gridCol w:w="2268"/>
        <w:gridCol w:w="2268"/>
      </w:tblGrid>
      <w:tr>
        <w:tc>
          <w:tcPr>
            <w:tcW w:type="dxa" w:w="2880"/>
            <w:vAlign w:val="center"/>
            <w:shd w:val="clear" w:color="auto" w:fill="17212D"/>
          </w:tcPr>
          <w:p>
            <w:pPr>
              <w:spacing w:before="60" w:after="60"/>
            </w:pPr>
            <w:r>
              <w:rPr>
                <w:b/>
                <w:color w:val="FFFFFF"/>
                <w:sz w:val="18"/>
              </w:rPr>
              <w:t>Component</w:t>
            </w:r>
          </w:p>
        </w:tc>
        <w:tc>
          <w:tcPr>
            <w:tcW w:type="dxa" w:w="1152"/>
            <w:vAlign w:val="center"/>
            <w:shd w:val="clear" w:color="auto" w:fill="17212D"/>
          </w:tcPr>
          <w:p>
            <w:pPr>
              <w:spacing w:before="60" w:after="60"/>
            </w:pPr>
            <w:r>
              <w:rPr>
                <w:b/>
                <w:color w:val="FFFFFF"/>
                <w:sz w:val="18"/>
              </w:rPr>
              <w:t>Weight</w:t>
            </w:r>
          </w:p>
        </w:tc>
        <w:tc>
          <w:tcPr>
            <w:tcW w:type="dxa" w:w="4608"/>
            <w:vAlign w:val="center"/>
            <w:shd w:val="clear" w:color="auto" w:fill="17212D"/>
          </w:tcPr>
          <w:p>
            <w:pPr>
              <w:spacing w:before="60" w:after="60"/>
            </w:pPr>
            <w:r>
              <w:rPr>
                <w:b/>
                <w:color w:val="FFFFFF"/>
                <w:sz w:val="18"/>
              </w:rPr>
              <w:t>How computed</w:t>
            </w:r>
          </w:p>
        </w:tc>
        <w:tc>
          <w:tcPr>
            <w:tcW w:type="dxa" w:w="1440"/>
            <w:vAlign w:val="center"/>
            <w:shd w:val="clear" w:color="auto" w:fill="17212D"/>
          </w:tcPr>
          <w:p>
            <w:pPr>
              <w:spacing w:before="60" w:after="60"/>
            </w:pPr>
            <w:r>
              <w:rPr>
                <w:b/>
                <w:color w:val="FFFFFF"/>
                <w:sz w:val="18"/>
              </w:rPr>
              <w:t>Factual?</w:t>
            </w:r>
          </w:p>
        </w:tc>
      </w:tr>
      <w:tr>
        <w:tc>
          <w:tcPr>
            <w:tcW w:type="dxa" w:w="2880"/>
            <w:shd w:val="clear" w:color="auto" w:fill="F3EDE3"/>
            <w:vAlign w:val="center"/>
          </w:tcPr>
          <w:p>
            <w:pPr>
              <w:spacing w:before="40" w:after="40"/>
            </w:pPr>
            <w:r>
              <w:rPr>
                <w:b w:val="0"/>
                <w:color w:val="17212D"/>
                <w:sz w:val="18"/>
              </w:rPr>
              <w:t>unique_persona_count / 4</w:t>
            </w:r>
          </w:p>
        </w:tc>
        <w:tc>
          <w:tcPr>
            <w:tcW w:type="dxa" w:w="1152"/>
            <w:shd w:val="clear" w:color="auto" w:fill="F3EDE3"/>
            <w:vAlign w:val="center"/>
          </w:tcPr>
          <w:p>
            <w:pPr>
              <w:spacing w:before="40" w:after="40"/>
            </w:pPr>
            <w:r>
              <w:rPr>
                <w:b w:val="0"/>
                <w:color w:val="17212D"/>
                <w:sz w:val="18"/>
              </w:rPr>
              <w:t>35%</w:t>
            </w:r>
          </w:p>
        </w:tc>
        <w:tc>
          <w:tcPr>
            <w:tcW w:type="dxa" w:w="4608"/>
            <w:shd w:val="clear" w:color="auto" w:fill="F3EDE3"/>
            <w:vAlign w:val="center"/>
          </w:tcPr>
          <w:p>
            <w:pPr>
              <w:spacing w:before="40" w:after="40"/>
            </w:pPr>
            <w:r>
              <w:rPr>
                <w:b w:val="0"/>
                <w:color w:val="17212D"/>
                <w:sz w:val="18"/>
              </w:rPr>
              <w:t>Distinct approved job functions at account, capped at 4</w:t>
            </w:r>
          </w:p>
        </w:tc>
        <w:tc>
          <w:tcPr>
            <w:tcW w:type="dxa" w:w="1440"/>
            <w:shd w:val="clear" w:color="auto" w:fill="F3EDE3"/>
            <w:vAlign w:val="center"/>
          </w:tcPr>
          <w:p>
            <w:pPr>
              <w:spacing w:before="40" w:after="40"/>
            </w:pPr>
            <w:r>
              <w:rPr>
                <w:b w:val="0"/>
                <w:color w:val="0F7A6B"/>
                <w:sz w:val="18"/>
              </w:rPr>
              <w:t>Yes</w:t>
            </w:r>
          </w:p>
        </w:tc>
      </w:tr>
      <w:tr>
        <w:tc>
          <w:tcPr>
            <w:tcW w:type="dxa" w:w="2880"/>
            <w:shd w:val="clear" w:color="auto" w:fill="FFFFFF"/>
            <w:vAlign w:val="center"/>
          </w:tcPr>
          <w:p>
            <w:pPr>
              <w:spacing w:before="40" w:after="40"/>
            </w:pPr>
            <w:r>
              <w:rPr>
                <w:b w:val="0"/>
                <w:color w:val="17212D"/>
                <w:sz w:val="18"/>
              </w:rPr>
              <w:t>persona_completeness_score</w:t>
            </w:r>
          </w:p>
        </w:tc>
        <w:tc>
          <w:tcPr>
            <w:tcW w:type="dxa" w:w="1152"/>
            <w:shd w:val="clear" w:color="auto" w:fill="FFFFFF"/>
            <w:vAlign w:val="center"/>
          </w:tcPr>
          <w:p>
            <w:pPr>
              <w:spacing w:before="40" w:after="40"/>
            </w:pPr>
            <w:r>
              <w:rPr>
                <w:b w:val="0"/>
                <w:color w:val="17212D"/>
                <w:sz w:val="18"/>
              </w:rPr>
              <w:t>25%</w:t>
            </w:r>
          </w:p>
        </w:tc>
        <w:tc>
          <w:tcPr>
            <w:tcW w:type="dxa" w:w="4608"/>
            <w:shd w:val="clear" w:color="auto" w:fill="FFFFFF"/>
            <w:vAlign w:val="center"/>
          </w:tcPr>
          <w:p>
            <w:pPr>
              <w:spacing w:before="40" w:after="40"/>
            </w:pPr>
            <w:r>
              <w:rPr>
                <w:b w:val="0"/>
                <w:color w:val="17212D"/>
                <w:sz w:val="18"/>
              </w:rPr>
              <w:t>(required − missing) / required × 100 vs vertical persona list</w:t>
            </w:r>
          </w:p>
        </w:tc>
        <w:tc>
          <w:tcPr>
            <w:tcW w:type="dxa" w:w="1440"/>
            <w:shd w:val="clear" w:color="auto" w:fill="FFFFFF"/>
            <w:vAlign w:val="center"/>
          </w:tcPr>
          <w:p>
            <w:pPr>
              <w:spacing w:before="40" w:after="40"/>
            </w:pPr>
            <w:r>
              <w:rPr>
                <w:b w:val="0"/>
                <w:color w:val="0F7A6B"/>
                <w:sz w:val="18"/>
              </w:rPr>
              <w:t>Yes</w:t>
            </w:r>
          </w:p>
        </w:tc>
      </w:tr>
      <w:tr>
        <w:tc>
          <w:tcPr>
            <w:tcW w:type="dxa" w:w="2880"/>
            <w:shd w:val="clear" w:color="auto" w:fill="F3EDE3"/>
            <w:vAlign w:val="center"/>
          </w:tcPr>
          <w:p>
            <w:pPr>
              <w:spacing w:before="40" w:after="40"/>
            </w:pPr>
            <w:r>
              <w:rPr>
                <w:b w:val="0"/>
                <w:color w:val="17212D"/>
                <w:sz w:val="18"/>
              </w:rPr>
              <w:t>journey_stage_score</w:t>
            </w:r>
          </w:p>
        </w:tc>
        <w:tc>
          <w:tcPr>
            <w:tcW w:type="dxa" w:w="1152"/>
            <w:shd w:val="clear" w:color="auto" w:fill="F3EDE3"/>
            <w:vAlign w:val="center"/>
          </w:tcPr>
          <w:p>
            <w:pPr>
              <w:spacing w:before="40" w:after="40"/>
            </w:pPr>
            <w:r>
              <w:rPr>
                <w:b w:val="0"/>
                <w:color w:val="17212D"/>
                <w:sz w:val="18"/>
              </w:rPr>
              <w:t>20%</w:t>
            </w:r>
          </w:p>
        </w:tc>
        <w:tc>
          <w:tcPr>
            <w:tcW w:type="dxa" w:w="4608"/>
            <w:shd w:val="clear" w:color="auto" w:fill="F3EDE3"/>
            <w:vAlign w:val="center"/>
          </w:tcPr>
          <w:p>
            <w:pPr>
              <w:spacing w:before="40" w:after="40"/>
            </w:pPr>
            <w:r>
              <w:rPr>
                <w:b w:val="0"/>
                <w:color w:val="17212D"/>
                <w:sz w:val="18"/>
              </w:rPr>
              <w:t>Max stage reached: TOFU=35, MOFU=65, BOFU=90</w:t>
            </w:r>
          </w:p>
        </w:tc>
        <w:tc>
          <w:tcPr>
            <w:tcW w:type="dxa" w:w="1440"/>
            <w:shd w:val="clear" w:color="auto" w:fill="F3EDE3"/>
            <w:vAlign w:val="center"/>
          </w:tcPr>
          <w:p>
            <w:pPr>
              <w:spacing w:before="40" w:after="40"/>
            </w:pPr>
            <w:r>
              <w:rPr>
                <w:b w:val="0"/>
                <w:color w:val="0F7A6B"/>
                <w:sz w:val="18"/>
              </w:rPr>
              <w:t>Yes</w:t>
            </w:r>
          </w:p>
        </w:tc>
      </w:tr>
      <w:tr>
        <w:tc>
          <w:tcPr>
            <w:tcW w:type="dxa" w:w="2880"/>
            <w:shd w:val="clear" w:color="auto" w:fill="FFFFFF"/>
            <w:vAlign w:val="center"/>
          </w:tcPr>
          <w:p>
            <w:pPr>
              <w:spacing w:before="40" w:after="40"/>
            </w:pPr>
            <w:r>
              <w:rPr>
                <w:b w:val="0"/>
                <w:color w:val="17212D"/>
                <w:sz w:val="18"/>
              </w:rPr>
              <w:t>account_history_score</w:t>
            </w:r>
          </w:p>
        </w:tc>
        <w:tc>
          <w:tcPr>
            <w:tcW w:type="dxa" w:w="1152"/>
            <w:shd w:val="clear" w:color="auto" w:fill="FFFFFF"/>
            <w:vAlign w:val="center"/>
          </w:tcPr>
          <w:p>
            <w:pPr>
              <w:spacing w:before="40" w:after="40"/>
            </w:pPr>
            <w:r>
              <w:rPr>
                <w:b w:val="0"/>
                <w:color w:val="17212D"/>
                <w:sz w:val="18"/>
              </w:rPr>
              <w:t>20%</w:t>
            </w:r>
          </w:p>
        </w:tc>
        <w:tc>
          <w:tcPr>
            <w:tcW w:type="dxa" w:w="4608"/>
            <w:shd w:val="clear" w:color="auto" w:fill="FFFFFF"/>
            <w:vAlign w:val="center"/>
          </w:tcPr>
          <w:p>
            <w:pPr>
              <w:spacing w:before="40" w:after="40"/>
            </w:pPr>
            <w:r>
              <w:rPr>
                <w:b w:val="0"/>
                <w:color w:val="17212D"/>
                <w:sz w:val="18"/>
              </w:rPr>
              <w:t>client_acceptance_rate_6m × 100</w:t>
            </w:r>
          </w:p>
        </w:tc>
        <w:tc>
          <w:tcPr>
            <w:tcW w:type="dxa" w:w="1440"/>
            <w:shd w:val="clear" w:color="auto" w:fill="FFFFFF"/>
            <w:vAlign w:val="center"/>
          </w:tcPr>
          <w:p>
            <w:pPr>
              <w:spacing w:before="40" w:after="40"/>
            </w:pPr>
            <w:r>
              <w:rPr>
                <w:b w:val="0"/>
                <w:color w:val="B63A3A"/>
                <w:sz w:val="18"/>
              </w:rPr>
              <w:t>Form default</w:t>
            </w:r>
          </w:p>
        </w:tc>
      </w:tr>
    </w:tbl>
    <w:p/>
    <w:p>
      <w:pPr>
        <w:spacing w:before="320" w:after="80"/>
      </w:pPr>
      <w:r>
        <w:rPr>
          <w:b/>
          <w:color w:val="17212D"/>
          <w:sz w:val="26"/>
        </w:rPr>
        <w:t>BDR trigger</w:t>
      </w:r>
    </w:p>
    <w:p>
      <w:pPr>
        <w:spacing w:before="40" w:after="80"/>
      </w:pPr>
      <w:r>
        <w:rPr>
          <w:i w:val="0"/>
          <w:color w:val="17212D"/>
          <w:sz w:val="20"/>
        </w:rPr>
        <w:t>Activated when unique_persona_count ≥ 2 (distinct approved job functions at same account domain). Configurable via bdr_trigger_personas in platform_config.yaml.</w:t>
      </w:r>
    </w:p>
    <w:p>
      <w:pPr>
        <w:spacing w:before="320" w:after="80"/>
      </w:pPr>
      <w:r>
        <w:rPr>
          <w:b/>
          <w:color w:val="17212D"/>
          <w:sz w:val="26"/>
        </w:rPr>
        <w:t>Required personas by vertical</w:t>
      </w:r>
    </w:p>
    <w:tbl>
      <w:tblPr>
        <w:tblStyle w:val="TableGrid"/>
        <w:tblW w:type="auto" w:w="0"/>
        <w:tblLook w:firstColumn="1" w:firstRow="1" w:lastColumn="0" w:lastRow="0" w:noHBand="0" w:noVBand="1" w:val="04A0"/>
      </w:tblPr>
      <w:tblGrid>
        <w:gridCol w:w="4536"/>
        <w:gridCol w:w="4536"/>
      </w:tblGrid>
      <w:tr>
        <w:tc>
          <w:tcPr>
            <w:tcW w:type="dxa" w:w="2880"/>
            <w:vAlign w:val="center"/>
            <w:shd w:val="clear" w:color="auto" w:fill="17212D"/>
          </w:tcPr>
          <w:p>
            <w:pPr>
              <w:spacing w:before="60" w:after="60"/>
            </w:pPr>
            <w:r>
              <w:rPr>
                <w:b/>
                <w:color w:val="FFFFFF"/>
                <w:sz w:val="18"/>
              </w:rPr>
              <w:t>Vertical</w:t>
            </w:r>
          </w:p>
        </w:tc>
        <w:tc>
          <w:tcPr>
            <w:tcW w:type="dxa" w:w="7200"/>
            <w:vAlign w:val="center"/>
            <w:shd w:val="clear" w:color="auto" w:fill="17212D"/>
          </w:tcPr>
          <w:p>
            <w:pPr>
              <w:spacing w:before="60" w:after="60"/>
            </w:pPr>
            <w:r>
              <w:rPr>
                <w:b/>
                <w:color w:val="FFFFFF"/>
                <w:sz w:val="18"/>
              </w:rPr>
              <w:t>Required Personas</w:t>
            </w:r>
          </w:p>
        </w:tc>
      </w:tr>
      <w:tr>
        <w:tc>
          <w:tcPr>
            <w:tcW w:type="dxa" w:w="2880"/>
            <w:shd w:val="clear" w:color="auto" w:fill="F3EDE3"/>
            <w:vAlign w:val="center"/>
          </w:tcPr>
          <w:p>
            <w:pPr>
              <w:spacing w:before="40" w:after="40"/>
            </w:pPr>
            <w:r>
              <w:rPr>
                <w:b w:val="0"/>
                <w:color w:val="17212D"/>
                <w:sz w:val="18"/>
              </w:rPr>
              <w:t>healthcare</w:t>
            </w:r>
          </w:p>
        </w:tc>
        <w:tc>
          <w:tcPr>
            <w:tcW w:type="dxa" w:w="7200"/>
            <w:shd w:val="clear" w:color="auto" w:fill="F3EDE3"/>
            <w:vAlign w:val="center"/>
          </w:tcPr>
          <w:p>
            <w:pPr>
              <w:spacing w:before="40" w:after="40"/>
            </w:pPr>
            <w:r>
              <w:rPr>
                <w:b w:val="0"/>
                <w:color w:val="17212D"/>
                <w:sz w:val="18"/>
              </w:rPr>
              <w:t>clinical, finance, it</w:t>
            </w:r>
          </w:p>
        </w:tc>
      </w:tr>
      <w:tr>
        <w:tc>
          <w:tcPr>
            <w:tcW w:type="dxa" w:w="2880"/>
            <w:shd w:val="clear" w:color="auto" w:fill="FFFFFF"/>
            <w:vAlign w:val="center"/>
          </w:tcPr>
          <w:p>
            <w:pPr>
              <w:spacing w:before="40" w:after="40"/>
            </w:pPr>
            <w:r>
              <w:rPr>
                <w:b w:val="0"/>
                <w:color w:val="17212D"/>
                <w:sz w:val="18"/>
              </w:rPr>
              <w:t>saas</w:t>
            </w:r>
          </w:p>
        </w:tc>
        <w:tc>
          <w:tcPr>
            <w:tcW w:type="dxa" w:w="7200"/>
            <w:shd w:val="clear" w:color="auto" w:fill="FFFFFF"/>
            <w:vAlign w:val="center"/>
          </w:tcPr>
          <w:p>
            <w:pPr>
              <w:spacing w:before="40" w:after="40"/>
            </w:pPr>
            <w:r>
              <w:rPr>
                <w:b w:val="0"/>
                <w:color w:val="17212D"/>
                <w:sz w:val="18"/>
              </w:rPr>
              <w:t>it, finance, line_of_business</w:t>
            </w:r>
          </w:p>
        </w:tc>
      </w:tr>
      <w:tr>
        <w:tc>
          <w:tcPr>
            <w:tcW w:type="dxa" w:w="2880"/>
            <w:shd w:val="clear" w:color="auto" w:fill="F3EDE3"/>
            <w:vAlign w:val="center"/>
          </w:tcPr>
          <w:p>
            <w:pPr>
              <w:spacing w:before="40" w:after="40"/>
            </w:pPr>
            <w:r>
              <w:rPr>
                <w:b w:val="0"/>
                <w:color w:val="17212D"/>
                <w:sz w:val="18"/>
              </w:rPr>
              <w:t>financial_services</w:t>
            </w:r>
          </w:p>
        </w:tc>
        <w:tc>
          <w:tcPr>
            <w:tcW w:type="dxa" w:w="7200"/>
            <w:shd w:val="clear" w:color="auto" w:fill="F3EDE3"/>
            <w:vAlign w:val="center"/>
          </w:tcPr>
          <w:p>
            <w:pPr>
              <w:spacing w:before="40" w:after="40"/>
            </w:pPr>
            <w:r>
              <w:rPr>
                <w:b w:val="0"/>
                <w:color w:val="17212D"/>
                <w:sz w:val="18"/>
              </w:rPr>
              <w:t>finance, it, operations</w:t>
            </w:r>
          </w:p>
        </w:tc>
      </w:tr>
      <w:tr>
        <w:tc>
          <w:tcPr>
            <w:tcW w:type="dxa" w:w="2880"/>
            <w:shd w:val="clear" w:color="auto" w:fill="FFFFFF"/>
            <w:vAlign w:val="center"/>
          </w:tcPr>
          <w:p>
            <w:pPr>
              <w:spacing w:before="40" w:after="40"/>
            </w:pPr>
            <w:r>
              <w:rPr>
                <w:b w:val="0"/>
                <w:color w:val="17212D"/>
                <w:sz w:val="18"/>
              </w:rPr>
              <w:t>manufacturing</w:t>
            </w:r>
          </w:p>
        </w:tc>
        <w:tc>
          <w:tcPr>
            <w:tcW w:type="dxa" w:w="7200"/>
            <w:shd w:val="clear" w:color="auto" w:fill="FFFFFF"/>
            <w:vAlign w:val="center"/>
          </w:tcPr>
          <w:p>
            <w:pPr>
              <w:spacing w:before="40" w:after="40"/>
            </w:pPr>
            <w:r>
              <w:rPr>
                <w:b w:val="0"/>
                <w:color w:val="17212D"/>
                <w:sz w:val="18"/>
              </w:rPr>
              <w:t>operations, finance, it</w:t>
            </w:r>
          </w:p>
        </w:tc>
      </w:tr>
      <w:tr>
        <w:tc>
          <w:tcPr>
            <w:tcW w:type="dxa" w:w="2880"/>
            <w:shd w:val="clear" w:color="auto" w:fill="F3EDE3"/>
            <w:vAlign w:val="center"/>
          </w:tcPr>
          <w:p>
            <w:pPr>
              <w:spacing w:before="40" w:after="40"/>
            </w:pPr>
            <w:r>
              <w:rPr>
                <w:b w:val="0"/>
                <w:color w:val="17212D"/>
                <w:sz w:val="18"/>
              </w:rPr>
              <w:t>default</w:t>
            </w:r>
          </w:p>
        </w:tc>
        <w:tc>
          <w:tcPr>
            <w:tcW w:type="dxa" w:w="7200"/>
            <w:shd w:val="clear" w:color="auto" w:fill="F3EDE3"/>
            <w:vAlign w:val="center"/>
          </w:tcPr>
          <w:p>
            <w:pPr>
              <w:spacing w:before="40" w:after="40"/>
            </w:pPr>
            <w:r>
              <w:rPr>
                <w:b w:val="0"/>
                <w:color w:val="17212D"/>
                <w:sz w:val="18"/>
              </w:rPr>
              <w:t>finance, it, operations</w:t>
            </w:r>
          </w:p>
        </w:tc>
      </w:tr>
    </w:tbl>
    <w:p/>
    <w:p>
      <w:pPr>
        <w:spacing w:before="440" w:after="120"/>
      </w:pPr>
      <w:r>
        <w:rPr>
          <w:b/>
          <w:color w:val="BA4B26"/>
          <w:sz w:val="40"/>
        </w:rPr>
        <w:t>9. Engagement Signal Weights</w:t>
      </w:r>
    </w:p>
    <w:p>
      <w:pPr>
        <w:spacing w:before="40" w:after="80"/>
      </w:pPr>
      <w:r>
        <w:rPr>
          <w:i w:val="0"/>
          <w:color w:val="17212D"/>
          <w:sz w:val="20"/>
        </w:rPr>
        <w:t>These are the raw weights applied to each engagement event type before multiplying by stage_weight.</w:t>
      </w:r>
    </w:p>
    <w:tbl>
      <w:tblPr>
        <w:tblStyle w:val="TableGrid"/>
        <w:tblW w:type="auto" w:w="0"/>
        <w:tblLook w:firstColumn="1" w:firstRow="1" w:lastColumn="0" w:lastRow="0" w:noHBand="0" w:noVBand="1" w:val="04A0"/>
      </w:tblPr>
      <w:tblGrid>
        <w:gridCol w:w="2268"/>
        <w:gridCol w:w="2268"/>
        <w:gridCol w:w="2268"/>
        <w:gridCol w:w="2268"/>
      </w:tblGrid>
      <w:tr>
        <w:tc>
          <w:tcPr>
            <w:tcW w:type="dxa" w:w="2592"/>
            <w:vAlign w:val="center"/>
            <w:shd w:val="clear" w:color="auto" w:fill="0F7A6B"/>
          </w:tcPr>
          <w:p>
            <w:pPr>
              <w:spacing w:before="60" w:after="60"/>
            </w:pPr>
            <w:r>
              <w:rPr>
                <w:b/>
                <w:color w:val="FFFFFF"/>
                <w:sz w:val="18"/>
              </w:rPr>
              <w:t>Event Type</w:t>
            </w:r>
          </w:p>
        </w:tc>
        <w:tc>
          <w:tcPr>
            <w:tcW w:type="dxa" w:w="2160"/>
            <w:vAlign w:val="center"/>
            <w:shd w:val="clear" w:color="auto" w:fill="0F7A6B"/>
          </w:tcPr>
          <w:p>
            <w:pPr>
              <w:spacing w:before="60" w:after="60"/>
            </w:pPr>
            <w:r>
              <w:rPr>
                <w:b/>
                <w:color w:val="FFFFFF"/>
                <w:sz w:val="18"/>
              </w:rPr>
              <w:t>Base Weight</w:t>
            </w:r>
          </w:p>
        </w:tc>
        <w:tc>
          <w:tcPr>
            <w:tcW w:type="dxa" w:w="2880"/>
            <w:vAlign w:val="center"/>
            <w:shd w:val="clear" w:color="auto" w:fill="0F7A6B"/>
          </w:tcPr>
          <w:p>
            <w:pPr>
              <w:spacing w:before="60" w:after="60"/>
            </w:pPr>
            <w:r>
              <w:rPr>
                <w:b/>
                <w:color w:val="FFFFFF"/>
                <w:sz w:val="18"/>
              </w:rPr>
              <w:t>Email 2 Multiplier</w:t>
            </w:r>
          </w:p>
        </w:tc>
        <w:tc>
          <w:tcPr>
            <w:tcW w:type="dxa" w:w="3168"/>
            <w:vAlign w:val="center"/>
            <w:shd w:val="clear" w:color="auto" w:fill="0F7A6B"/>
          </w:tcPr>
          <w:p>
            <w:pPr>
              <w:spacing w:before="60" w:after="60"/>
            </w:pPr>
            <w:r>
              <w:rPr>
                <w:b/>
                <w:color w:val="FFFFFF"/>
                <w:sz w:val="18"/>
              </w:rPr>
              <w:t>Effective (Email 2)</w:t>
            </w:r>
          </w:p>
        </w:tc>
      </w:tr>
      <w:tr>
        <w:tc>
          <w:tcPr>
            <w:tcW w:type="dxa" w:w="2592"/>
            <w:shd w:val="clear" w:color="auto" w:fill="F3EDE3"/>
            <w:vAlign w:val="center"/>
          </w:tcPr>
          <w:p>
            <w:pPr>
              <w:spacing w:before="40" w:after="40"/>
            </w:pPr>
            <w:r>
              <w:rPr>
                <w:b w:val="0"/>
                <w:color w:val="17212D"/>
                <w:sz w:val="18"/>
              </w:rPr>
              <w:t>open</w:t>
            </w:r>
          </w:p>
        </w:tc>
        <w:tc>
          <w:tcPr>
            <w:tcW w:type="dxa" w:w="2160"/>
            <w:shd w:val="clear" w:color="auto" w:fill="F3EDE3"/>
            <w:vAlign w:val="center"/>
          </w:tcPr>
          <w:p>
            <w:pPr>
              <w:spacing w:before="40" w:after="40"/>
            </w:pPr>
            <w:r>
              <w:rPr>
                <w:b w:val="0"/>
                <w:color w:val="17212D"/>
                <w:sz w:val="18"/>
              </w:rPr>
              <w:t>8</w:t>
            </w:r>
          </w:p>
        </w:tc>
        <w:tc>
          <w:tcPr>
            <w:tcW w:type="dxa" w:w="2880"/>
            <w:shd w:val="clear" w:color="auto" w:fill="F3EDE3"/>
            <w:vAlign w:val="center"/>
          </w:tcPr>
          <w:p>
            <w:pPr>
              <w:spacing w:before="40" w:after="40"/>
            </w:pPr>
            <w:r>
              <w:rPr>
                <w:b w:val="0"/>
                <w:color w:val="17212D"/>
                <w:sz w:val="18"/>
              </w:rPr>
              <w:t>1.5×</w:t>
            </w:r>
          </w:p>
        </w:tc>
        <w:tc>
          <w:tcPr>
            <w:tcW w:type="dxa" w:w="3168"/>
            <w:shd w:val="clear" w:color="auto" w:fill="F3EDE3"/>
            <w:vAlign w:val="center"/>
          </w:tcPr>
          <w:p>
            <w:pPr>
              <w:spacing w:before="40" w:after="40"/>
            </w:pPr>
            <w:r>
              <w:rPr>
                <w:b w:val="0"/>
                <w:color w:val="17212D"/>
                <w:sz w:val="18"/>
              </w:rPr>
              <w:t>12</w:t>
            </w:r>
          </w:p>
        </w:tc>
      </w:tr>
      <w:tr>
        <w:tc>
          <w:tcPr>
            <w:tcW w:type="dxa" w:w="2592"/>
            <w:shd w:val="clear" w:color="auto" w:fill="FFFFFF"/>
            <w:vAlign w:val="center"/>
          </w:tcPr>
          <w:p>
            <w:pPr>
              <w:spacing w:before="40" w:after="40"/>
            </w:pPr>
            <w:r>
              <w:rPr>
                <w:b w:val="0"/>
                <w:color w:val="17212D"/>
                <w:sz w:val="18"/>
              </w:rPr>
              <w:t>click</w:t>
            </w:r>
          </w:p>
        </w:tc>
        <w:tc>
          <w:tcPr>
            <w:tcW w:type="dxa" w:w="2160"/>
            <w:shd w:val="clear" w:color="auto" w:fill="FFFFFF"/>
            <w:vAlign w:val="center"/>
          </w:tcPr>
          <w:p>
            <w:pPr>
              <w:spacing w:before="40" w:after="40"/>
            </w:pPr>
            <w:r>
              <w:rPr>
                <w:b w:val="0"/>
                <w:color w:val="17212D"/>
                <w:sz w:val="18"/>
              </w:rPr>
              <w:t>16</w:t>
            </w:r>
          </w:p>
        </w:tc>
        <w:tc>
          <w:tcPr>
            <w:tcW w:type="dxa" w:w="2880"/>
            <w:shd w:val="clear" w:color="auto" w:fill="FFFFFF"/>
            <w:vAlign w:val="center"/>
          </w:tcPr>
          <w:p>
            <w:pPr>
              <w:spacing w:before="40" w:after="40"/>
            </w:pPr>
            <w:r>
              <w:rPr>
                <w:b w:val="0"/>
                <w:color w:val="17212D"/>
                <w:sz w:val="18"/>
              </w:rPr>
              <w:t>1.5×</w:t>
            </w:r>
          </w:p>
        </w:tc>
        <w:tc>
          <w:tcPr>
            <w:tcW w:type="dxa" w:w="3168"/>
            <w:shd w:val="clear" w:color="auto" w:fill="FFFFFF"/>
            <w:vAlign w:val="center"/>
          </w:tcPr>
          <w:p>
            <w:pPr>
              <w:spacing w:before="40" w:after="40"/>
            </w:pPr>
            <w:r>
              <w:rPr>
                <w:b w:val="0"/>
                <w:color w:val="17212D"/>
                <w:sz w:val="18"/>
              </w:rPr>
              <w:t>24</w:t>
            </w:r>
          </w:p>
        </w:tc>
      </w:tr>
      <w:tr>
        <w:tc>
          <w:tcPr>
            <w:tcW w:type="dxa" w:w="2592"/>
            <w:shd w:val="clear" w:color="auto" w:fill="F3EDE3"/>
            <w:vAlign w:val="center"/>
          </w:tcPr>
          <w:p>
            <w:pPr>
              <w:spacing w:before="40" w:after="40"/>
            </w:pPr>
            <w:r>
              <w:rPr>
                <w:b w:val="0"/>
                <w:color w:val="17212D"/>
                <w:sz w:val="18"/>
              </w:rPr>
              <w:t>download</w:t>
            </w:r>
          </w:p>
        </w:tc>
        <w:tc>
          <w:tcPr>
            <w:tcW w:type="dxa" w:w="2160"/>
            <w:shd w:val="clear" w:color="auto" w:fill="F3EDE3"/>
            <w:vAlign w:val="center"/>
          </w:tcPr>
          <w:p>
            <w:pPr>
              <w:spacing w:before="40" w:after="40"/>
            </w:pPr>
            <w:r>
              <w:rPr>
                <w:b w:val="0"/>
                <w:color w:val="17212D"/>
                <w:sz w:val="18"/>
              </w:rPr>
              <w:t>22</w:t>
            </w:r>
          </w:p>
        </w:tc>
        <w:tc>
          <w:tcPr>
            <w:tcW w:type="dxa" w:w="2880"/>
            <w:shd w:val="clear" w:color="auto" w:fill="F3EDE3"/>
            <w:vAlign w:val="center"/>
          </w:tcPr>
          <w:p>
            <w:pPr>
              <w:spacing w:before="40" w:after="40"/>
            </w:pPr>
            <w:r>
              <w:rPr>
                <w:b w:val="0"/>
                <w:color w:val="17212D"/>
                <w:sz w:val="18"/>
              </w:rPr>
              <w:t>1.5×</w:t>
            </w:r>
          </w:p>
        </w:tc>
        <w:tc>
          <w:tcPr>
            <w:tcW w:type="dxa" w:w="3168"/>
            <w:shd w:val="clear" w:color="auto" w:fill="F3EDE3"/>
            <w:vAlign w:val="center"/>
          </w:tcPr>
          <w:p>
            <w:pPr>
              <w:spacing w:before="40" w:after="40"/>
            </w:pPr>
            <w:r>
              <w:rPr>
                <w:b w:val="0"/>
                <w:color w:val="17212D"/>
                <w:sz w:val="18"/>
              </w:rPr>
              <w:t>33</w:t>
            </w:r>
          </w:p>
        </w:tc>
      </w:tr>
      <w:tr>
        <w:tc>
          <w:tcPr>
            <w:tcW w:type="dxa" w:w="2592"/>
            <w:shd w:val="clear" w:color="auto" w:fill="FFFFFF"/>
            <w:vAlign w:val="center"/>
          </w:tcPr>
          <w:p>
            <w:pPr>
              <w:spacing w:before="40" w:after="40"/>
            </w:pPr>
            <w:r>
              <w:rPr>
                <w:b w:val="0"/>
                <w:color w:val="17212D"/>
                <w:sz w:val="18"/>
              </w:rPr>
              <w:t>visit</w:t>
            </w:r>
          </w:p>
        </w:tc>
        <w:tc>
          <w:tcPr>
            <w:tcW w:type="dxa" w:w="2160"/>
            <w:shd w:val="clear" w:color="auto" w:fill="FFFFFF"/>
            <w:vAlign w:val="center"/>
          </w:tcPr>
          <w:p>
            <w:pPr>
              <w:spacing w:before="40" w:after="40"/>
            </w:pPr>
            <w:r>
              <w:rPr>
                <w:b w:val="0"/>
                <w:color w:val="17212D"/>
                <w:sz w:val="18"/>
              </w:rPr>
              <w:t>10</w:t>
            </w:r>
          </w:p>
        </w:tc>
        <w:tc>
          <w:tcPr>
            <w:tcW w:type="dxa" w:w="2880"/>
            <w:shd w:val="clear" w:color="auto" w:fill="FFFFFF"/>
            <w:vAlign w:val="center"/>
          </w:tcPr>
          <w:p>
            <w:pPr>
              <w:spacing w:before="40" w:after="40"/>
            </w:pPr>
            <w:r>
              <w:rPr>
                <w:b w:val="0"/>
                <w:color w:val="17212D"/>
                <w:sz w:val="18"/>
              </w:rPr>
              <w:t>1.5×</w:t>
            </w:r>
          </w:p>
        </w:tc>
        <w:tc>
          <w:tcPr>
            <w:tcW w:type="dxa" w:w="3168"/>
            <w:shd w:val="clear" w:color="auto" w:fill="FFFFFF"/>
            <w:vAlign w:val="center"/>
          </w:tcPr>
          <w:p>
            <w:pPr>
              <w:spacing w:before="40" w:after="40"/>
            </w:pPr>
            <w:r>
              <w:rPr>
                <w:b w:val="0"/>
                <w:color w:val="17212D"/>
                <w:sz w:val="18"/>
              </w:rPr>
              <w:t>15</w:t>
            </w:r>
          </w:p>
        </w:tc>
      </w:tr>
    </w:tbl>
    <w:p/>
    <w:p>
      <w:pPr>
        <w:spacing w:before="40" w:after="80"/>
      </w:pPr>
      <w:r>
        <w:rPr>
          <w:i w:val="0"/>
          <w:color w:val="17212D"/>
          <w:sz w:val="20"/>
        </w:rPr>
        <w:t>email_engagement_score = min(100, total_weighted_events × stage_weight)</w:t>
      </w:r>
    </w:p>
    <w:p>
      <w:pPr>
        <w:spacing w:before="40" w:after="80"/>
      </w:pPr>
      <w:r>
        <w:rPr>
          <w:i w:val="0"/>
          <w:color w:val="17212D"/>
          <w:sz w:val="20"/>
        </w:rPr>
        <w:t>BOFU stage_weight = 4.5 — so a single BOFU download (22 × 4.5 = 99) nearly maxes the engagement score alone.</w:t>
      </w:r>
    </w:p>
    <w:p>
      <w:pPr>
        <w:spacing w:before="40" w:after="80"/>
      </w:pPr>
      <w:r>
        <w:rPr>
          <w:i w:val="0"/>
          <w:color w:val="17212D"/>
          <w:sz w:val="20"/>
        </w:rPr>
        <w:t>Recency decay: score = 100 × e^(−ln2 × age_days / 21). A lead with events 21 days old scores 50% of a fresh lead. At 42 days: 25%. Default if no events: 35.</w:t>
      </w:r>
    </w:p>
    <w:p>
      <w:pPr>
        <w:spacing w:before="440" w:after="120"/>
      </w:pPr>
      <w:r>
        <w:rPr>
          <w:b/>
          <w:color w:val="BA4B26"/>
          <w:sz w:val="40"/>
        </w:rPr>
        <w:t>10. Audit Logging</w:t>
      </w:r>
    </w:p>
    <w:p>
      <w:pPr>
        <w:spacing w:before="40" w:after="80"/>
      </w:pPr>
      <w:r>
        <w:rPr>
          <w:i w:val="0"/>
          <w:color w:val="17212D"/>
          <w:sz w:val="20"/>
        </w:rPr>
        <w:t>Every scored lead generates a ScoreAuditRecord written to the SQLite database. This is the source of truth for all decisions and is used to build campaign reports.</w:t>
      </w:r>
    </w:p>
    <w:tbl>
      <w:tblPr>
        <w:tblStyle w:val="TableGrid"/>
        <w:tblW w:type="auto" w:w="0"/>
        <w:tblLook w:firstColumn="1" w:firstRow="1" w:lastColumn="0" w:lastRow="0" w:noHBand="0" w:noVBand="1" w:val="04A0"/>
      </w:tblPr>
      <w:tblGrid>
        <w:gridCol w:w="4536"/>
        <w:gridCol w:w="4536"/>
      </w:tblGrid>
      <w:tr>
        <w:tc>
          <w:tcPr>
            <w:tcW w:type="dxa" w:w="4032"/>
            <w:vAlign w:val="center"/>
            <w:shd w:val="clear" w:color="auto" w:fill="17212D"/>
          </w:tcPr>
          <w:p>
            <w:pPr>
              <w:spacing w:before="60" w:after="60"/>
            </w:pPr>
            <w:r>
              <w:rPr>
                <w:b/>
                <w:color w:val="FFFFFF"/>
                <w:sz w:val="18"/>
              </w:rPr>
              <w:t>Field</w:t>
            </w:r>
          </w:p>
        </w:tc>
        <w:tc>
          <w:tcPr>
            <w:tcW w:type="dxa" w:w="6048"/>
            <w:vAlign w:val="center"/>
            <w:shd w:val="clear" w:color="auto" w:fill="17212D"/>
          </w:tcPr>
          <w:p>
            <w:pPr>
              <w:spacing w:before="60" w:after="60"/>
            </w:pPr>
            <w:r>
              <w:rPr>
                <w:b/>
                <w:color w:val="FFFFFF"/>
                <w:sz w:val="18"/>
              </w:rPr>
              <w:t>Content</w:t>
            </w:r>
          </w:p>
        </w:tc>
      </w:tr>
      <w:tr>
        <w:tc>
          <w:tcPr>
            <w:tcW w:type="dxa" w:w="4032"/>
            <w:shd w:val="clear" w:color="auto" w:fill="F3EDE3"/>
            <w:vAlign w:val="center"/>
          </w:tcPr>
          <w:p>
            <w:pPr>
              <w:spacing w:before="40" w:after="40"/>
            </w:pPr>
            <w:r>
              <w:rPr>
                <w:b w:val="0"/>
                <w:color w:val="17212D"/>
                <w:sz w:val="18"/>
              </w:rPr>
              <w:t>lead_id / campaign_id / client_id</w:t>
            </w:r>
          </w:p>
        </w:tc>
        <w:tc>
          <w:tcPr>
            <w:tcW w:type="dxa" w:w="6048"/>
            <w:shd w:val="clear" w:color="auto" w:fill="F3EDE3"/>
            <w:vAlign w:val="center"/>
          </w:tcPr>
          <w:p>
            <w:pPr>
              <w:spacing w:before="40" w:after="40"/>
            </w:pPr>
            <w:r>
              <w:rPr>
                <w:b w:val="0"/>
                <w:color w:val="17212D"/>
                <w:sz w:val="18"/>
              </w:rPr>
              <w:t>Indexed keys for retrieval</w:t>
            </w:r>
          </w:p>
        </w:tc>
      </w:tr>
      <w:tr>
        <w:tc>
          <w:tcPr>
            <w:tcW w:type="dxa" w:w="4032"/>
            <w:shd w:val="clear" w:color="auto" w:fill="FFFFFF"/>
            <w:vAlign w:val="center"/>
          </w:tcPr>
          <w:p>
            <w:pPr>
              <w:spacing w:before="40" w:after="40"/>
            </w:pPr>
            <w:r>
              <w:rPr>
                <w:b w:val="0"/>
                <w:color w:val="17212D"/>
                <w:sz w:val="18"/>
              </w:rPr>
              <w:t>approval_score</w:t>
            </w:r>
          </w:p>
        </w:tc>
        <w:tc>
          <w:tcPr>
            <w:tcW w:type="dxa" w:w="6048"/>
            <w:shd w:val="clear" w:color="auto" w:fill="FFFFFF"/>
            <w:vAlign w:val="center"/>
          </w:tcPr>
          <w:p>
            <w:pPr>
              <w:spacing w:before="40" w:after="40"/>
            </w:pPr>
            <w:r>
              <w:rPr>
                <w:b w:val="0"/>
                <w:color w:val="17212D"/>
                <w:sz w:val="18"/>
              </w:rPr>
              <w:t>Final numeric score (0–100)</w:t>
            </w:r>
          </w:p>
        </w:tc>
      </w:tr>
      <w:tr>
        <w:tc>
          <w:tcPr>
            <w:tcW w:type="dxa" w:w="4032"/>
            <w:shd w:val="clear" w:color="auto" w:fill="F3EDE3"/>
            <w:vAlign w:val="center"/>
          </w:tcPr>
          <w:p>
            <w:pPr>
              <w:spacing w:before="40" w:after="40"/>
            </w:pPr>
            <w:r>
              <w:rPr>
                <w:b w:val="0"/>
                <w:color w:val="17212D"/>
                <w:sz w:val="18"/>
              </w:rPr>
              <w:t>delivery_decision</w:t>
            </w:r>
          </w:p>
        </w:tc>
        <w:tc>
          <w:tcPr>
            <w:tcW w:type="dxa" w:w="6048"/>
            <w:shd w:val="clear" w:color="auto" w:fill="F3EDE3"/>
            <w:vAlign w:val="center"/>
          </w:tcPr>
          <w:p>
            <w:pPr>
              <w:spacing w:before="40" w:after="40"/>
            </w:pPr>
            <w:r>
              <w:rPr>
                <w:b w:val="0"/>
                <w:color w:val="17212D"/>
                <w:sz w:val="18"/>
              </w:rPr>
              <w:t>deliver / review / hold</w:t>
            </w:r>
          </w:p>
        </w:tc>
      </w:tr>
      <w:tr>
        <w:tc>
          <w:tcPr>
            <w:tcW w:type="dxa" w:w="4032"/>
            <w:shd w:val="clear" w:color="auto" w:fill="FFFFFF"/>
            <w:vAlign w:val="center"/>
          </w:tcPr>
          <w:p>
            <w:pPr>
              <w:spacing w:before="40" w:after="40"/>
            </w:pPr>
            <w:r>
              <w:rPr>
                <w:b w:val="0"/>
                <w:color w:val="17212D"/>
                <w:sz w:val="18"/>
              </w:rPr>
              <w:t>predicted_outcome</w:t>
            </w:r>
          </w:p>
        </w:tc>
        <w:tc>
          <w:tcPr>
            <w:tcW w:type="dxa" w:w="6048"/>
            <w:shd w:val="clear" w:color="auto" w:fill="FFFFFF"/>
            <w:vAlign w:val="center"/>
          </w:tcPr>
          <w:p>
            <w:pPr>
              <w:spacing w:before="40" w:after="40"/>
            </w:pPr>
            <w:r>
              <w:rPr>
                <w:b w:val="0"/>
                <w:color w:val="17212D"/>
                <w:sz w:val="18"/>
              </w:rPr>
              <w:t>approved / rejected</w:t>
            </w:r>
          </w:p>
        </w:tc>
      </w:tr>
      <w:tr>
        <w:tc>
          <w:tcPr>
            <w:tcW w:type="dxa" w:w="4032"/>
            <w:shd w:val="clear" w:color="auto" w:fill="F3EDE3"/>
            <w:vAlign w:val="center"/>
          </w:tcPr>
          <w:p>
            <w:pPr>
              <w:spacing w:before="40" w:after="40"/>
            </w:pPr>
            <w:r>
              <w:rPr>
                <w:b w:val="0"/>
                <w:color w:val="17212D"/>
                <w:sz w:val="18"/>
              </w:rPr>
              <w:t>quadrant</w:t>
            </w:r>
          </w:p>
        </w:tc>
        <w:tc>
          <w:tcPr>
            <w:tcW w:type="dxa" w:w="6048"/>
            <w:shd w:val="clear" w:color="auto" w:fill="F3EDE3"/>
            <w:vAlign w:val="center"/>
          </w:tcPr>
          <w:p>
            <w:pPr>
              <w:spacing w:before="40" w:after="40"/>
            </w:pPr>
            <w:r>
              <w:rPr>
                <w:b w:val="0"/>
                <w:color w:val="17212D"/>
                <w:sz w:val="18"/>
              </w:rPr>
              <w:t>Priority / Nurture / Champion / Monitor</w:t>
            </w:r>
          </w:p>
        </w:tc>
      </w:tr>
      <w:tr>
        <w:tc>
          <w:tcPr>
            <w:tcW w:type="dxa" w:w="4032"/>
            <w:shd w:val="clear" w:color="auto" w:fill="FFFFFF"/>
            <w:vAlign w:val="center"/>
          </w:tcPr>
          <w:p>
            <w:pPr>
              <w:spacing w:before="40" w:after="40"/>
            </w:pPr>
            <w:r>
              <w:rPr>
                <w:b w:val="0"/>
                <w:color w:val="17212D"/>
                <w:sz w:val="18"/>
              </w:rPr>
              <w:t>model_version</w:t>
            </w:r>
          </w:p>
        </w:tc>
        <w:tc>
          <w:tcPr>
            <w:tcW w:type="dxa" w:w="6048"/>
            <w:shd w:val="clear" w:color="auto" w:fill="FFFFFF"/>
            <w:vAlign w:val="center"/>
          </w:tcPr>
          <w:p>
            <w:pPr>
              <w:spacing w:before="40" w:after="40"/>
            </w:pPr>
            <w:r>
              <w:rPr>
                <w:b w:val="0"/>
                <w:color w:val="17212D"/>
                <w:sz w:val="18"/>
              </w:rPr>
              <w:t>Identifies which model produced this score</w:t>
            </w:r>
          </w:p>
        </w:tc>
      </w:tr>
      <w:tr>
        <w:tc>
          <w:tcPr>
            <w:tcW w:type="dxa" w:w="4032"/>
            <w:shd w:val="clear" w:color="auto" w:fill="F3EDE3"/>
            <w:vAlign w:val="center"/>
          </w:tcPr>
          <w:p>
            <w:pPr>
              <w:spacing w:before="40" w:after="40"/>
            </w:pPr>
            <w:r>
              <w:rPr>
                <w:b w:val="0"/>
                <w:color w:val="17212D"/>
                <w:sz w:val="18"/>
              </w:rPr>
              <w:t>features_json</w:t>
            </w:r>
          </w:p>
        </w:tc>
        <w:tc>
          <w:tcPr>
            <w:tcW w:type="dxa" w:w="6048"/>
            <w:shd w:val="clear" w:color="auto" w:fill="F3EDE3"/>
            <w:vAlign w:val="center"/>
          </w:tcPr>
          <w:p>
            <w:pPr>
              <w:spacing w:before="40" w:after="40"/>
            </w:pPr>
            <w:r>
              <w:rPr>
                <w:b w:val="0"/>
                <w:color w:val="17212D"/>
                <w:sz w:val="18"/>
              </w:rPr>
              <w:t>Full 14-feature vector as JSON</w:t>
            </w:r>
          </w:p>
        </w:tc>
      </w:tr>
      <w:tr>
        <w:tc>
          <w:tcPr>
            <w:tcW w:type="dxa" w:w="4032"/>
            <w:shd w:val="clear" w:color="auto" w:fill="FFFFFF"/>
            <w:vAlign w:val="center"/>
          </w:tcPr>
          <w:p>
            <w:pPr>
              <w:spacing w:before="40" w:after="40"/>
            </w:pPr>
            <w:r>
              <w:rPr>
                <w:b w:val="0"/>
                <w:color w:val="17212D"/>
                <w:sz w:val="18"/>
              </w:rPr>
              <w:t>reasons_json</w:t>
            </w:r>
          </w:p>
        </w:tc>
        <w:tc>
          <w:tcPr>
            <w:tcW w:type="dxa" w:w="6048"/>
            <w:shd w:val="clear" w:color="auto" w:fill="FFFFFF"/>
            <w:vAlign w:val="center"/>
          </w:tcPr>
          <w:p>
            <w:pPr>
              <w:spacing w:before="40" w:after="40"/>
            </w:pPr>
            <w:r>
              <w:rPr>
                <w:b w:val="0"/>
                <w:color w:val="17212D"/>
                <w:sz w:val="18"/>
              </w:rPr>
              <w:t>Top 3 plain-English score drivers</w:t>
            </w:r>
          </w:p>
        </w:tc>
      </w:tr>
      <w:tr>
        <w:tc>
          <w:tcPr>
            <w:tcW w:type="dxa" w:w="4032"/>
            <w:shd w:val="clear" w:color="auto" w:fill="F3EDE3"/>
            <w:vAlign w:val="center"/>
          </w:tcPr>
          <w:p>
            <w:pPr>
              <w:spacing w:before="40" w:after="40"/>
            </w:pPr>
            <w:r>
              <w:rPr>
                <w:b w:val="0"/>
                <w:color w:val="17212D"/>
                <w:sz w:val="18"/>
              </w:rPr>
              <w:t>request_json</w:t>
            </w:r>
          </w:p>
        </w:tc>
        <w:tc>
          <w:tcPr>
            <w:tcW w:type="dxa" w:w="6048"/>
            <w:shd w:val="clear" w:color="auto" w:fill="F3EDE3"/>
            <w:vAlign w:val="center"/>
          </w:tcPr>
          <w:p>
            <w:pPr>
              <w:spacing w:before="40" w:after="40"/>
            </w:pPr>
            <w:r>
              <w:rPr>
                <w:b w:val="0"/>
                <w:color w:val="17212D"/>
                <w:sz w:val="18"/>
              </w:rPr>
              <w:t>Complete LeadRecord input payload</w:t>
            </w:r>
          </w:p>
        </w:tc>
      </w:tr>
      <w:tr>
        <w:tc>
          <w:tcPr>
            <w:tcW w:type="dxa" w:w="4032"/>
            <w:shd w:val="clear" w:color="auto" w:fill="FFFFFF"/>
            <w:vAlign w:val="center"/>
          </w:tcPr>
          <w:p>
            <w:pPr>
              <w:spacing w:before="40" w:after="40"/>
            </w:pPr>
            <w:r>
              <w:rPr>
                <w:b w:val="0"/>
                <w:color w:val="17212D"/>
                <w:sz w:val="18"/>
              </w:rPr>
              <w:t>response_json</w:t>
            </w:r>
          </w:p>
        </w:tc>
        <w:tc>
          <w:tcPr>
            <w:tcW w:type="dxa" w:w="6048"/>
            <w:shd w:val="clear" w:color="auto" w:fill="FFFFFF"/>
            <w:vAlign w:val="center"/>
          </w:tcPr>
          <w:p>
            <w:pPr>
              <w:spacing w:before="40" w:after="40"/>
            </w:pPr>
            <w:r>
              <w:rPr>
                <w:b w:val="0"/>
                <w:color w:val="17212D"/>
                <w:sz w:val="18"/>
              </w:rPr>
              <w:t>Complete LeadScoreResult output</w:t>
            </w:r>
          </w:p>
        </w:tc>
      </w:tr>
      <w:tr>
        <w:tc>
          <w:tcPr>
            <w:tcW w:type="dxa" w:w="4032"/>
            <w:shd w:val="clear" w:color="auto" w:fill="F3EDE3"/>
            <w:vAlign w:val="center"/>
          </w:tcPr>
          <w:p>
            <w:pPr>
              <w:spacing w:before="40" w:after="40"/>
            </w:pPr>
            <w:r>
              <w:rPr>
                <w:b w:val="0"/>
                <w:color w:val="17212D"/>
                <w:sz w:val="18"/>
              </w:rPr>
              <w:t>actual_outcome</w:t>
            </w:r>
          </w:p>
        </w:tc>
        <w:tc>
          <w:tcPr>
            <w:tcW w:type="dxa" w:w="6048"/>
            <w:shd w:val="clear" w:color="auto" w:fill="F3EDE3"/>
            <w:vAlign w:val="center"/>
          </w:tcPr>
          <w:p>
            <w:pPr>
              <w:spacing w:before="40" w:after="40"/>
            </w:pPr>
            <w:r>
              <w:rPr>
                <w:b w:val="0"/>
                <w:color w:val="17212D"/>
                <w:sz w:val="18"/>
              </w:rPr>
              <w:t>Set later via POST /outcomes/label — used for retraining</w:t>
            </w:r>
          </w:p>
        </w:tc>
      </w:tr>
      <w:tr>
        <w:tc>
          <w:tcPr>
            <w:tcW w:type="dxa" w:w="4032"/>
            <w:shd w:val="clear" w:color="auto" w:fill="FFFFFF"/>
            <w:vAlign w:val="center"/>
          </w:tcPr>
          <w:p>
            <w:pPr>
              <w:spacing w:before="40" w:after="40"/>
            </w:pPr>
            <w:r>
              <w:rPr>
                <w:b w:val="0"/>
                <w:color w:val="17212D"/>
                <w:sz w:val="18"/>
              </w:rPr>
              <w:t>created_at</w:t>
            </w:r>
          </w:p>
        </w:tc>
        <w:tc>
          <w:tcPr>
            <w:tcW w:type="dxa" w:w="6048"/>
            <w:shd w:val="clear" w:color="auto" w:fill="FFFFFF"/>
            <w:vAlign w:val="center"/>
          </w:tcPr>
          <w:p>
            <w:pPr>
              <w:spacing w:before="40" w:after="40"/>
            </w:pPr>
            <w:r>
              <w:rPr>
                <w:b w:val="0"/>
                <w:color w:val="17212D"/>
                <w:sz w:val="18"/>
              </w:rPr>
              <w:t>UTC timestamp, indexed</w:t>
            </w:r>
          </w:p>
        </w:tc>
      </w:tr>
    </w:tbl>
    <w:p/>
    <w:p>
      <w:pPr>
        <w:spacing w:before="440" w:after="120"/>
      </w:pPr>
      <w:r>
        <w:rPr>
          <w:b/>
          <w:color w:val="BA4B26"/>
          <w:sz w:val="40"/>
        </w:rPr>
        <w:t>11. Known Gaps and Limitations</w:t>
      </w:r>
    </w:p>
    <w:p>
      <w:pPr>
        <w:spacing w:before="120" w:after="20"/>
      </w:pPr>
      <w:r>
        <w:rPr>
          <w:b/>
          <w:color w:val="B63A3A"/>
          <w:sz w:val="20"/>
        </w:rPr>
        <w:t>⚠  Partner / history data is not real</w:t>
      </w:r>
    </w:p>
    <w:p>
      <w:pPr>
        <w:spacing w:before="0" w:after="120"/>
        <w:ind w:left="432"/>
      </w:pPr>
      <w:r>
        <w:rPr>
          <w:color w:val="5B6777"/>
          <w:sz w:val="18"/>
        </w:rPr>
        <w:t>The three approval rate fields (partner, client, campaign) are operator-entered form defaults. They carry 36% of the score weight. Until these are sourced from a live CRM or partner database, they are uniform assumptions — not evidence.</w:t>
      </w:r>
    </w:p>
    <w:p>
      <w:pPr>
        <w:spacing w:before="120" w:after="20"/>
      </w:pPr>
      <w:r>
        <w:rPr>
          <w:b/>
          <w:color w:val="B63A3A"/>
          <w:sz w:val="20"/>
        </w:rPr>
        <w:t>⚠  Model is not calibrated</w:t>
      </w:r>
    </w:p>
    <w:p>
      <w:pPr>
        <w:spacing w:before="0" w:after="120"/>
        <w:ind w:left="432"/>
      </w:pPr>
      <w:r>
        <w:rPr>
          <w:color w:val="5B6777"/>
          <w:sz w:val="18"/>
        </w:rPr>
        <w:t>The LightGBM model's predict_proba() output is not calibrated. Score 72 does not mean 72% approval probability. Calibration requires CalibratedClassifierCV with ≥ 60 samples.</w:t>
      </w:r>
    </w:p>
    <w:p>
      <w:pPr>
        <w:spacing w:before="120" w:after="20"/>
      </w:pPr>
      <w:r>
        <w:rPr>
          <w:b/>
          <w:color w:val="B63A3A"/>
          <w:sz w:val="20"/>
        </w:rPr>
        <w:t>⚠  Score-of-scores anti-pattern</w:t>
      </w:r>
    </w:p>
    <w:p>
      <w:pPr>
        <w:spacing w:before="0" w:after="120"/>
        <w:ind w:left="432"/>
      </w:pPr>
      <w:r>
        <w:rPr>
          <w:color w:val="5B6777"/>
          <w:sz w:val="18"/>
        </w:rPr>
        <w:t>The ML model trains on 14 heuristic intermediate scores, not raw signals (engagement event counts, raw title text, domain flags). This limits the model's ability to learn patterns the heuristics miss.</w:t>
      </w:r>
    </w:p>
    <w:p>
      <w:pPr>
        <w:spacing w:before="120" w:after="20"/>
      </w:pPr>
      <w:r>
        <w:rPr>
          <w:b/>
          <w:color w:val="B63A3A"/>
          <w:sz w:val="20"/>
        </w:rPr>
        <w:t>⚠  Temporal split not used</w:t>
      </w:r>
    </w:p>
    <w:p>
      <w:pPr>
        <w:spacing w:before="0" w:after="120"/>
        <w:ind w:left="432"/>
      </w:pPr>
      <w:r>
        <w:rPr>
          <w:color w:val="5B6777"/>
          <w:sz w:val="18"/>
        </w:rPr>
        <w:t>The April 2 training used stratified_random split. If the dataset has temporal ordering, this risks leakage — future data may have influenced features that predict past outcomes.</w:t>
      </w:r>
    </w:p>
    <w:p>
      <w:pPr>
        <w:spacing w:before="120" w:after="20"/>
      </w:pPr>
      <w:r>
        <w:rPr>
          <w:b/>
          <w:color w:val="B63A3A"/>
          <w:sz w:val="20"/>
        </w:rPr>
        <w:t>⚠  Lift at top 10% is 1.09×</w:t>
      </w:r>
    </w:p>
    <w:p>
      <w:pPr>
        <w:spacing w:before="0" w:after="120"/>
        <w:ind w:left="432"/>
      </w:pPr>
      <w:r>
        <w:rPr>
          <w:color w:val="5B6777"/>
          <w:sz w:val="18"/>
        </w:rPr>
        <w:t>The model barely outperforms random selection in its top decile. This is a sign the model adds minimal rank-ordering value over the weighted baseline.</w:t>
      </w:r>
    </w:p>
    <w:p>
      <w:pPr>
        <w:spacing w:before="120" w:after="20"/>
      </w:pPr>
      <w:r>
        <w:rPr>
          <w:b/>
          <w:color w:val="B63A3A"/>
          <w:sz w:val="20"/>
        </w:rPr>
        <w:t>⚠  No drift detection</w:t>
      </w:r>
    </w:p>
    <w:p>
      <w:pPr>
        <w:spacing w:before="0" w:after="120"/>
        <w:ind w:left="432"/>
      </w:pPr>
      <w:r>
        <w:rPr>
          <w:color w:val="5B6777"/>
          <w:sz w:val="18"/>
        </w:rPr>
        <w:t>There is no monitoring for score distribution drift, feature distribution shift, or approval rate changes over time. The model may silently degrade.</w:t>
      </w:r>
    </w:p>
    <w:p>
      <w:pPr>
        <w:spacing w:before="120" w:after="20"/>
      </w:pPr>
      <w:r>
        <w:rPr>
          <w:b/>
          <w:color w:val="B63A3A"/>
          <w:sz w:val="20"/>
        </w:rPr>
        <w:t>⚠  No automated outcome ingestion</w:t>
      </w:r>
    </w:p>
    <w:p>
      <w:pPr>
        <w:spacing w:before="0" w:after="120"/>
        <w:ind w:left="432"/>
      </w:pPr>
      <w:r>
        <w:rPr>
          <w:color w:val="5B6777"/>
          <w:sz w:val="18"/>
        </w:rPr>
        <w:t>Client feedback (approved/rejected) must be POSTed manually to /outcomes/label. There is no CRM sync to close the learning loop automatically.</w:t>
      </w:r>
    </w:p>
    <w:p>
      <w:pPr>
        <w:spacing w:before="120" w:after="120"/>
        <w:pBdr>
          <w:bottom w:val="single" w:sz="4" w:color="DDDDDD"/>
        </w:pBdr>
      </w:pPr>
    </w:p>
    <w:p>
      <w:r>
        <w:rPr>
          <w:color w:val="5B6777"/>
          <w:sz w:val="16"/>
        </w:rPr>
        <w:t>ACE Buying Intelligence Platform · Technical Reference · April 2026 · Confidential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