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F1E3C"/>
          <w:sz w:val="48"/>
        </w:rPr>
        <w:t>Electric Vehicle Driving Range Prediction</w:t>
      </w:r>
    </w:p>
    <w:p>
      <w:r>
        <w:rPr>
          <w:rFonts w:ascii="Arial" w:hAnsi="Arial"/>
          <w:color w:val="1D4ED8"/>
          <w:sz w:val="26"/>
        </w:rPr>
        <w:t>A Machine Learning Framework for Real-World EV Range Estimation</w:t>
      </w:r>
    </w:p>
    <w:p>
      <w:pPr>
        <w:spacing w:line="276" w:lineRule="auto"/>
      </w:pPr>
      <w:r>
        <w:rPr>
          <w:rFonts w:ascii="Arial" w:hAnsi="Arial"/>
          <w:color w:val="1E293B"/>
          <w:sz w:val="21"/>
        </w:rPr>
        <w:t>A machine learning framework for predicting real-world remaining driving range in Battery Electric Vehicles (BEVs), specifically calibrated for the 2013 Nissan Leaf (24 kWh battery pack) based on the University of Michigan Vehicle Energy Dataset (VED) telemetry schema.</w:t>
      </w:r>
    </w:p>
    <w:p>
      <w:pPr>
        <w:pStyle w:val="Heading1"/>
      </w:pPr>
      <w:r>
        <w:rPr>
          <w:rFonts w:ascii="Arial" w:hAnsi="Arial"/>
          <w:b/>
          <w:color w:val="0F1E3C"/>
          <w:sz w:val="32"/>
        </w:rPr>
        <w:t>1. Overview</w:t>
      </w:r>
    </w:p>
    <w:p>
      <w:pPr>
        <w:spacing w:line="276" w:lineRule="auto"/>
      </w:pPr>
      <w:r>
        <w:rPr>
          <w:rFonts w:ascii="Arial" w:hAnsi="Arial"/>
          <w:color w:val="1E293B"/>
          <w:sz w:val="21"/>
        </w:rPr>
        <w:t>Accurate driving range estimation is critical to mitigating driver range anxiety. This repository implements an end-to-end regression pipeline that accounts for non-linear physical dynamics:</w:t>
      </w:r>
    </w:p>
    <w:p>
      <w:pPr>
        <w:pStyle w:val="ListBullet"/>
        <w:spacing w:after="60" w:line="276" w:lineRule="auto"/>
      </w:pPr>
      <w:r>
        <w:rPr>
          <w:rFonts w:ascii="Arial" w:hAnsi="Arial"/>
          <w:b/>
          <w:color w:val="1E293B"/>
          <w:sz w:val="20"/>
        </w:rPr>
        <w:t xml:space="preserve">Aerodynamic drag losses: </w:t>
      </w:r>
      <w:r>
        <w:rPr>
          <w:rFonts w:ascii="Arial" w:hAnsi="Arial"/>
          <w:color w:val="1E293B"/>
          <w:sz w:val="20"/>
        </w:rPr>
        <w:t>scaling with the cube of speed (P_drag proportional to v^3).</w:t>
      </w:r>
    </w:p>
    <w:p>
      <w:pPr>
        <w:pStyle w:val="ListBullet"/>
        <w:spacing w:after="60" w:line="276" w:lineRule="auto"/>
      </w:pPr>
      <w:r>
        <w:rPr>
          <w:rFonts w:ascii="Arial" w:hAnsi="Arial"/>
          <w:b/>
          <w:color w:val="1E293B"/>
          <w:sz w:val="20"/>
        </w:rPr>
        <w:t xml:space="preserve">Electro-chemical degradation: </w:t>
      </w:r>
      <w:r>
        <w:rPr>
          <w:rFonts w:ascii="Arial" w:hAnsi="Arial"/>
          <w:color w:val="1E293B"/>
          <w:sz w:val="20"/>
        </w:rPr>
        <w:t>in sub-zero winter temperatures (&lt; 15 deg C).</w:t>
      </w:r>
    </w:p>
    <w:p>
      <w:pPr>
        <w:pStyle w:val="ListBullet"/>
        <w:spacing w:after="60" w:line="276" w:lineRule="auto"/>
      </w:pPr>
      <w:r>
        <w:rPr>
          <w:rFonts w:ascii="Arial" w:hAnsi="Arial"/>
          <w:b/>
          <w:color w:val="1E293B"/>
          <w:sz w:val="20"/>
        </w:rPr>
        <w:t xml:space="preserve">Cabin HVAC energy consumption: </w:t>
      </w:r>
      <w:r>
        <w:rPr>
          <w:rFonts w:ascii="Arial" w:hAnsi="Arial"/>
          <w:color w:val="1E293B"/>
          <w:sz w:val="20"/>
        </w:rPr>
        <w:t>(PTC heaters and A/C compressor drawing up to 4.5 kW).</w:t>
      </w:r>
    </w:p>
    <w:p>
      <w:pPr>
        <w:pStyle w:val="ListBullet"/>
        <w:spacing w:after="60" w:line="276" w:lineRule="auto"/>
      </w:pPr>
      <w:r>
        <w:rPr>
          <w:rFonts w:ascii="Arial" w:hAnsi="Arial"/>
          <w:b/>
          <w:color w:val="1E293B"/>
          <w:sz w:val="20"/>
        </w:rPr>
        <w:t xml:space="preserve">Gravitational resistance: </w:t>
      </w:r>
      <w:r>
        <w:rPr>
          <w:rFonts w:ascii="Arial" w:hAnsi="Arial"/>
          <w:color w:val="1E293B"/>
          <w:sz w:val="20"/>
        </w:rPr>
        <w:t>on road inclines and hilly terrain.</w:t>
      </w:r>
    </w:p>
    <w:p>
      <w:pPr>
        <w:spacing w:line="276" w:lineRule="auto" w:before="120" w:after="320"/>
      </w:pPr>
      <w:r>
        <w:rPr>
          <w:rFonts w:ascii="Arial" w:hAnsi="Arial"/>
          <w:color w:val="1E293B"/>
          <w:sz w:val="21"/>
        </w:rPr>
        <w:t>Three regression models were evaluated: Random Forest Regressor, Gradient Boosting Regressor, and Support Vector Regressor (SVR). SVR with a Radial Basis Function (RBF) kernel achieved the highest accuracy (R2 = 0.9953, MAE = 1.30 km) and was deployed as the primary model.</w:t>
      </w:r>
    </w:p>
    <w:p>
      <w:pPr>
        <w:pStyle w:val="Heading1"/>
      </w:pPr>
      <w:r>
        <w:rPr>
          <w:rFonts w:ascii="Arial" w:hAnsi="Arial"/>
          <w:b/>
          <w:color w:val="0F1E3C"/>
          <w:sz w:val="32"/>
        </w:rPr>
        <w:t>2. Model Performance Scoreboard</w:t>
      </w:r>
    </w:p>
    <w:p>
      <w:pPr>
        <w:spacing w:after="160"/>
      </w:pPr>
      <w:r>
        <w:rPr>
          <w:rFonts w:ascii="Arial" w:hAnsi="Arial"/>
          <w:color w:val="1E293B"/>
          <w:sz w:val="21"/>
        </w:rPr>
        <w:t>Evaluated on an unseen 20% test holdout split (1,000 driving trips):</w:t>
      </w:r>
    </w:p>
    <w:tbl>
      <w:tblPr>
        <w:tblW w:type="auto" w:w="0"/>
        <w:jc w:val="center"/>
        <w:tblLook w:firstColumn="1" w:firstRow="1" w:lastColumn="0" w:lastRow="0" w:noHBand="0" w:noVBand="1" w:val="04A0"/>
      </w:tblPr>
      <w:tblGrid>
        <w:gridCol w:w="1872"/>
        <w:gridCol w:w="1872"/>
        <w:gridCol w:w="1872"/>
        <w:gridCol w:w="1872"/>
        <w:gridCol w:w="1872"/>
      </w:tblGrid>
      <w:tr>
        <w:tc>
          <w:tcPr>
            <w:tcW w:type="dxa" w:w="3744"/>
            <w:shd w:fill="0F1E3C"/>
            <w:tcMar>
              <w:top w:w="120" w:type="dxa"/>
              <w:bottom w:w="120" w:type="dxa"/>
              <w:left w:w="150" w:type="dxa"/>
              <w:right w:w="150" w:type="dxa"/>
            </w:tcMar>
          </w:tcPr>
          <w:p>
            <w:pPr>
              <w:jc w:val="left"/>
            </w:pPr>
            <w:r>
              <w:rPr>
                <w:rFonts w:ascii="Arial" w:hAnsi="Arial"/>
                <w:b/>
                <w:color w:val="FFFFFF"/>
                <w:sz w:val="19"/>
              </w:rPr>
              <w:t>Model Architecture</w:t>
            </w:r>
          </w:p>
        </w:tc>
        <w:tc>
          <w:tcPr>
            <w:tcW w:type="dxa" w:w="1728"/>
            <w:shd w:fill="0F1E3C"/>
            <w:tcMar>
              <w:top w:w="120" w:type="dxa"/>
              <w:bottom w:w="120" w:type="dxa"/>
              <w:left w:w="150" w:type="dxa"/>
              <w:right w:w="150" w:type="dxa"/>
            </w:tcMar>
          </w:tcPr>
          <w:p>
            <w:pPr>
              <w:jc w:val="left"/>
            </w:pPr>
            <w:r>
              <w:rPr>
                <w:rFonts w:ascii="Arial" w:hAnsi="Arial"/>
                <w:b/>
                <w:color w:val="FFFFFF"/>
                <w:sz w:val="19"/>
              </w:rPr>
              <w:t>MAE</w:t>
            </w:r>
          </w:p>
        </w:tc>
        <w:tc>
          <w:tcPr>
            <w:tcW w:type="dxa" w:w="1728"/>
            <w:shd w:fill="0F1E3C"/>
            <w:tcMar>
              <w:top w:w="120" w:type="dxa"/>
              <w:bottom w:w="120" w:type="dxa"/>
              <w:left w:w="150" w:type="dxa"/>
              <w:right w:w="150" w:type="dxa"/>
            </w:tcMar>
          </w:tcPr>
          <w:p>
            <w:pPr>
              <w:jc w:val="left"/>
            </w:pPr>
            <w:r>
              <w:rPr>
                <w:rFonts w:ascii="Arial" w:hAnsi="Arial"/>
                <w:b/>
                <w:color w:val="FFFFFF"/>
                <w:sz w:val="19"/>
              </w:rPr>
              <w:t>RMSE</w:t>
            </w:r>
          </w:p>
        </w:tc>
        <w:tc>
          <w:tcPr>
            <w:tcW w:type="dxa" w:w="1584"/>
            <w:shd w:fill="0F1E3C"/>
            <w:tcMar>
              <w:top w:w="120" w:type="dxa"/>
              <w:bottom w:w="120" w:type="dxa"/>
              <w:left w:w="150" w:type="dxa"/>
              <w:right w:w="150" w:type="dxa"/>
            </w:tcMar>
          </w:tcPr>
          <w:p>
            <w:pPr>
              <w:jc w:val="left"/>
            </w:pPr>
            <w:r>
              <w:rPr>
                <w:rFonts w:ascii="Arial" w:hAnsi="Arial"/>
                <w:b/>
                <w:color w:val="FFFFFF"/>
                <w:sz w:val="19"/>
              </w:rPr>
              <w:t>R2 Score</w:t>
            </w:r>
          </w:p>
        </w:tc>
        <w:tc>
          <w:tcPr>
            <w:tcW w:type="dxa" w:w="2016"/>
            <w:shd w:fill="0F1E3C"/>
            <w:tcMar>
              <w:top w:w="120" w:type="dxa"/>
              <w:bottom w:w="120" w:type="dxa"/>
              <w:left w:w="150" w:type="dxa"/>
              <w:right w:w="150" w:type="dxa"/>
            </w:tcMar>
          </w:tcPr>
          <w:p>
            <w:pPr>
              <w:jc w:val="left"/>
            </w:pPr>
            <w:r>
              <w:rPr>
                <w:rFonts w:ascii="Arial" w:hAnsi="Arial"/>
                <w:b/>
                <w:color w:val="FFFFFF"/>
                <w:sz w:val="19"/>
              </w:rPr>
              <w:t>Status</w:t>
            </w:r>
          </w:p>
        </w:tc>
      </w:tr>
      <w:tr>
        <w:tc>
          <w:tcPr>
            <w:tcW w:type="dxa" w:w="3744"/>
            <w:shd w:fill="F1F5F9"/>
            <w:tcMar>
              <w:top w:w="100" w:type="dxa"/>
              <w:bottom w:w="100" w:type="dxa"/>
              <w:left w:w="150" w:type="dxa"/>
              <w:right w:w="150" w:type="dxa"/>
            </w:tcMar>
          </w:tcPr>
          <w:p>
            <w:pPr>
              <w:jc w:val="left"/>
            </w:pPr>
            <w:r>
              <w:rPr>
                <w:rFonts w:ascii="Arial" w:hAnsi="Arial"/>
                <w:b/>
                <w:color w:val="1E293B"/>
                <w:sz w:val="19"/>
              </w:rPr>
              <w:t>Support Vector Regressor (SVR)</w:t>
            </w:r>
          </w:p>
        </w:tc>
        <w:tc>
          <w:tcPr>
            <w:tcW w:type="dxa" w:w="1728"/>
            <w:shd w:fill="F1F5F9"/>
            <w:tcMar>
              <w:top w:w="100" w:type="dxa"/>
              <w:bottom w:w="100" w:type="dxa"/>
              <w:left w:w="150" w:type="dxa"/>
              <w:right w:w="150" w:type="dxa"/>
            </w:tcMar>
          </w:tcPr>
          <w:p>
            <w:pPr>
              <w:jc w:val="left"/>
            </w:pPr>
            <w:r>
              <w:rPr>
                <w:rFonts w:ascii="Arial" w:hAnsi="Arial"/>
                <w:b/>
                <w:color w:val="1E293B"/>
                <w:sz w:val="19"/>
              </w:rPr>
              <w:t>1.30 km</w:t>
            </w:r>
          </w:p>
        </w:tc>
        <w:tc>
          <w:tcPr>
            <w:tcW w:type="dxa" w:w="1728"/>
            <w:shd w:fill="F1F5F9"/>
            <w:tcMar>
              <w:top w:w="100" w:type="dxa"/>
              <w:bottom w:w="100" w:type="dxa"/>
              <w:left w:w="150" w:type="dxa"/>
              <w:right w:w="150" w:type="dxa"/>
            </w:tcMar>
          </w:tcPr>
          <w:p>
            <w:pPr>
              <w:jc w:val="left"/>
            </w:pPr>
            <w:r>
              <w:rPr>
                <w:rFonts w:ascii="Arial" w:hAnsi="Arial"/>
                <w:b/>
                <w:color w:val="1E293B"/>
                <w:sz w:val="19"/>
              </w:rPr>
              <w:t>1.92 km</w:t>
            </w:r>
          </w:p>
        </w:tc>
        <w:tc>
          <w:tcPr>
            <w:tcW w:type="dxa" w:w="1584"/>
            <w:shd w:fill="F1F5F9"/>
            <w:tcMar>
              <w:top w:w="100" w:type="dxa"/>
              <w:bottom w:w="100" w:type="dxa"/>
              <w:left w:w="150" w:type="dxa"/>
              <w:right w:w="150" w:type="dxa"/>
            </w:tcMar>
          </w:tcPr>
          <w:p>
            <w:pPr>
              <w:jc w:val="left"/>
            </w:pPr>
            <w:r>
              <w:rPr>
                <w:rFonts w:ascii="Arial" w:hAnsi="Arial"/>
                <w:b/>
                <w:color w:val="1E293B"/>
                <w:sz w:val="19"/>
              </w:rPr>
              <w:t>0.9953</w:t>
            </w:r>
          </w:p>
        </w:tc>
        <w:tc>
          <w:tcPr>
            <w:tcW w:type="dxa" w:w="2016"/>
            <w:shd w:fill="F1F5F9"/>
            <w:tcMar>
              <w:top w:w="100" w:type="dxa"/>
              <w:bottom w:w="100" w:type="dxa"/>
              <w:left w:w="150" w:type="dxa"/>
              <w:right w:w="150" w:type="dxa"/>
            </w:tcMar>
          </w:tcPr>
          <w:p>
            <w:pPr>
              <w:jc w:val="left"/>
            </w:pPr>
            <w:r>
              <w:rPr>
                <w:rFonts w:ascii="Arial" w:hAnsi="Arial"/>
                <w:b/>
                <w:color w:val="1E293B"/>
                <w:sz w:val="19"/>
              </w:rPr>
              <w:t>Deployed Champion</w:t>
            </w:r>
          </w:p>
        </w:tc>
      </w:tr>
      <w:tr>
        <w:tc>
          <w:tcPr>
            <w:tcW w:type="dxa" w:w="3744"/>
            <w:shd w:fill="FFFFFF"/>
            <w:tcMar>
              <w:top w:w="100" w:type="dxa"/>
              <w:bottom w:w="100" w:type="dxa"/>
              <w:left w:w="150" w:type="dxa"/>
              <w:right w:w="150" w:type="dxa"/>
            </w:tcMar>
          </w:tcPr>
          <w:p>
            <w:pPr>
              <w:jc w:val="left"/>
            </w:pPr>
            <w:r>
              <w:rPr>
                <w:rFonts w:ascii="Arial" w:hAnsi="Arial"/>
                <w:color w:val="1E293B"/>
                <w:sz w:val="19"/>
              </w:rPr>
              <w:t>Gradient Boosting Regressor</w:t>
            </w:r>
          </w:p>
        </w:tc>
        <w:tc>
          <w:tcPr>
            <w:tcW w:type="dxa" w:w="1728"/>
            <w:shd w:fill="FFFFFF"/>
            <w:tcMar>
              <w:top w:w="100" w:type="dxa"/>
              <w:bottom w:w="100" w:type="dxa"/>
              <w:left w:w="150" w:type="dxa"/>
              <w:right w:w="150" w:type="dxa"/>
            </w:tcMar>
          </w:tcPr>
          <w:p>
            <w:pPr>
              <w:jc w:val="left"/>
            </w:pPr>
            <w:r>
              <w:rPr>
                <w:rFonts w:ascii="Arial" w:hAnsi="Arial"/>
                <w:color w:val="1E293B"/>
                <w:sz w:val="19"/>
              </w:rPr>
              <w:t>1.88 km</w:t>
            </w:r>
          </w:p>
        </w:tc>
        <w:tc>
          <w:tcPr>
            <w:tcW w:type="dxa" w:w="1728"/>
            <w:shd w:fill="FFFFFF"/>
            <w:tcMar>
              <w:top w:w="100" w:type="dxa"/>
              <w:bottom w:w="100" w:type="dxa"/>
              <w:left w:w="150" w:type="dxa"/>
              <w:right w:w="150" w:type="dxa"/>
            </w:tcMar>
          </w:tcPr>
          <w:p>
            <w:pPr>
              <w:jc w:val="left"/>
            </w:pPr>
            <w:r>
              <w:rPr>
                <w:rFonts w:ascii="Arial" w:hAnsi="Arial"/>
                <w:color w:val="1E293B"/>
                <w:sz w:val="19"/>
              </w:rPr>
              <w:t>2.69 km</w:t>
            </w:r>
          </w:p>
        </w:tc>
        <w:tc>
          <w:tcPr>
            <w:tcW w:type="dxa" w:w="1584"/>
            <w:shd w:fill="FFFFFF"/>
            <w:tcMar>
              <w:top w:w="100" w:type="dxa"/>
              <w:bottom w:w="100" w:type="dxa"/>
              <w:left w:w="150" w:type="dxa"/>
              <w:right w:w="150" w:type="dxa"/>
            </w:tcMar>
          </w:tcPr>
          <w:p>
            <w:pPr>
              <w:jc w:val="left"/>
            </w:pPr>
            <w:r>
              <w:rPr>
                <w:rFonts w:ascii="Arial" w:hAnsi="Arial"/>
                <w:color w:val="1E293B"/>
                <w:sz w:val="19"/>
              </w:rPr>
              <w:t>0.9909</w:t>
            </w:r>
          </w:p>
        </w:tc>
        <w:tc>
          <w:tcPr>
            <w:tcW w:type="dxa" w:w="2016"/>
            <w:shd w:fill="FFFFFF"/>
            <w:tcMar>
              <w:top w:w="100" w:type="dxa"/>
              <w:bottom w:w="100" w:type="dxa"/>
              <w:left w:w="150" w:type="dxa"/>
              <w:right w:w="150" w:type="dxa"/>
            </w:tcMar>
          </w:tcPr>
          <w:p>
            <w:pPr>
              <w:jc w:val="left"/>
            </w:pPr>
            <w:r>
              <w:rPr>
                <w:rFonts w:ascii="Arial" w:hAnsi="Arial"/>
                <w:color w:val="1E293B"/>
                <w:sz w:val="19"/>
              </w:rPr>
              <w:t>Baseline Comparison</w:t>
            </w:r>
          </w:p>
        </w:tc>
      </w:tr>
      <w:tr>
        <w:tc>
          <w:tcPr>
            <w:tcW w:type="dxa" w:w="3744"/>
            <w:shd w:fill="F1F5F9"/>
            <w:tcMar>
              <w:top w:w="100" w:type="dxa"/>
              <w:bottom w:w="100" w:type="dxa"/>
              <w:left w:w="150" w:type="dxa"/>
              <w:right w:w="150" w:type="dxa"/>
            </w:tcMar>
          </w:tcPr>
          <w:p>
            <w:pPr>
              <w:jc w:val="left"/>
            </w:pPr>
            <w:r>
              <w:rPr>
                <w:rFonts w:ascii="Arial" w:hAnsi="Arial"/>
                <w:color w:val="1E293B"/>
                <w:sz w:val="19"/>
              </w:rPr>
              <w:t>Random Forest Regressor</w:t>
            </w:r>
          </w:p>
        </w:tc>
        <w:tc>
          <w:tcPr>
            <w:tcW w:type="dxa" w:w="1728"/>
            <w:shd w:fill="F1F5F9"/>
            <w:tcMar>
              <w:top w:w="100" w:type="dxa"/>
              <w:bottom w:w="100" w:type="dxa"/>
              <w:left w:w="150" w:type="dxa"/>
              <w:right w:w="150" w:type="dxa"/>
            </w:tcMar>
          </w:tcPr>
          <w:p>
            <w:pPr>
              <w:jc w:val="left"/>
            </w:pPr>
            <w:r>
              <w:rPr>
                <w:rFonts w:ascii="Arial" w:hAnsi="Arial"/>
                <w:color w:val="1E293B"/>
                <w:sz w:val="19"/>
              </w:rPr>
              <w:t>2.52 km</w:t>
            </w:r>
          </w:p>
        </w:tc>
        <w:tc>
          <w:tcPr>
            <w:tcW w:type="dxa" w:w="1728"/>
            <w:shd w:fill="F1F5F9"/>
            <w:tcMar>
              <w:top w:w="100" w:type="dxa"/>
              <w:bottom w:w="100" w:type="dxa"/>
              <w:left w:w="150" w:type="dxa"/>
              <w:right w:w="150" w:type="dxa"/>
            </w:tcMar>
          </w:tcPr>
          <w:p>
            <w:pPr>
              <w:jc w:val="left"/>
            </w:pPr>
            <w:r>
              <w:rPr>
                <w:rFonts w:ascii="Arial" w:hAnsi="Arial"/>
                <w:color w:val="1E293B"/>
                <w:sz w:val="19"/>
              </w:rPr>
              <w:t>3.61 km</w:t>
            </w:r>
          </w:p>
        </w:tc>
        <w:tc>
          <w:tcPr>
            <w:tcW w:type="dxa" w:w="1584"/>
            <w:shd w:fill="F1F5F9"/>
            <w:tcMar>
              <w:top w:w="100" w:type="dxa"/>
              <w:bottom w:w="100" w:type="dxa"/>
              <w:left w:w="150" w:type="dxa"/>
              <w:right w:w="150" w:type="dxa"/>
            </w:tcMar>
          </w:tcPr>
          <w:p>
            <w:pPr>
              <w:jc w:val="left"/>
            </w:pPr>
            <w:r>
              <w:rPr>
                <w:rFonts w:ascii="Arial" w:hAnsi="Arial"/>
                <w:color w:val="1E293B"/>
                <w:sz w:val="19"/>
              </w:rPr>
              <w:t>0.9835</w:t>
            </w:r>
          </w:p>
        </w:tc>
        <w:tc>
          <w:tcPr>
            <w:tcW w:type="dxa" w:w="2016"/>
            <w:shd w:fill="F1F5F9"/>
            <w:tcMar>
              <w:top w:w="100" w:type="dxa"/>
              <w:bottom w:w="100" w:type="dxa"/>
              <w:left w:w="150" w:type="dxa"/>
              <w:right w:w="150" w:type="dxa"/>
            </w:tcMar>
          </w:tcPr>
          <w:p>
            <w:pPr>
              <w:jc w:val="left"/>
            </w:pPr>
            <w:r>
              <w:rPr>
                <w:rFonts w:ascii="Arial" w:hAnsi="Arial"/>
                <w:color w:val="1E293B"/>
                <w:sz w:val="19"/>
              </w:rPr>
              <w:t>Baseline Comparison</w:t>
            </w:r>
          </w:p>
        </w:tc>
      </w:tr>
    </w:tbl>
    <w:p>
      <w:pPr>
        <w:spacing w:before="280" w:after="80"/>
      </w:pPr>
      <w:r>
        <w:rPr>
          <w:rFonts w:ascii="Arial" w:hAnsi="Arial"/>
          <w:b/>
          <w:color w:val="0F1E3C"/>
          <w:sz w:val="21"/>
        </w:rPr>
        <w:t>Actual vs. Predicted Range Comparison:</w:t>
      </w:r>
    </w:p>
    <w:p>
      <w:r>
        <w:drawing>
          <wp:inline xmlns:a="http://schemas.openxmlformats.org/drawingml/2006/main" xmlns:pic="http://schemas.openxmlformats.org/drawingml/2006/picture">
            <wp:extent cx="5943600" cy="1651000"/>
            <wp:docPr id="1" name="Picture 1"/>
            <wp:cNvGraphicFramePr>
              <a:graphicFrameLocks noChangeAspect="1"/>
            </wp:cNvGraphicFramePr>
            <a:graphic>
              <a:graphicData uri="http://schemas.openxmlformats.org/drawingml/2006/picture">
                <pic:pic>
                  <pic:nvPicPr>
                    <pic:cNvPr id="0" name="ev_model_comparison.png"/>
                    <pic:cNvPicPr/>
                  </pic:nvPicPr>
                  <pic:blipFill>
                    <a:blip r:embed="rId9"/>
                    <a:stretch>
                      <a:fillRect/>
                    </a:stretch>
                  </pic:blipFill>
                  <pic:spPr>
                    <a:xfrm>
                      <a:off x="0" y="0"/>
                      <a:ext cx="5943600" cy="1651000"/>
                    </a:xfrm>
                    <a:prstGeom prst="rect"/>
                  </pic:spPr>
                </pic:pic>
              </a:graphicData>
            </a:graphic>
          </wp:inline>
        </w:drawing>
      </w:r>
    </w:p>
    <w:p>
      <w:pPr>
        <w:spacing w:before="80" w:after="320"/>
        <w:jc w:val="center"/>
      </w:pPr>
      <w:r>
        <w:rPr>
          <w:rFonts w:ascii="Arial" w:hAnsi="Arial"/>
          <w:color w:val="64748B"/>
          <w:sz w:val="17"/>
        </w:rPr>
        <w:t>Figure 1: Benchmark evaluation scatter plot showing ideal y=x reference.</w:t>
      </w:r>
    </w:p>
    <w:p>
      <w:pPr>
        <w:pStyle w:val="Heading1"/>
      </w:pPr>
      <w:r>
        <w:rPr>
          <w:rFonts w:ascii="Arial" w:hAnsi="Arial"/>
          <w:b/>
          <w:color w:val="0F1E3C"/>
          <w:sz w:val="32"/>
        </w:rPr>
        <w:t>3. Repository Structure</w:t>
      </w:r>
    </w:p>
    <w:p>
      <w:pPr>
        <w:spacing w:line="240" w:lineRule="auto" w:after="320"/>
      </w:pPr>
      <w:r>
        <w:rPr>
          <w:rFonts w:ascii="Courier New" w:hAnsi="Courier New"/>
          <w:color w:val="0F172A"/>
          <w:sz w:val="17"/>
        </w:rPr>
        <w:t>.</w:t>
        <w:br/>
        <w:t>|-- .gitignore                         # Standard git ignore rules</w:t>
        <w:br/>
        <w:t>|-- README.md                          # Project documentation and guide</w:t>
        <w:br/>
        <w:t>|-- requirements.txt                   # Python package dependencies</w:t>
        <w:br/>
        <w:t>|-- app.py                             # Interactive Streamlit Web Application</w:t>
        <w:br/>
        <w:t>|-- data/</w:t>
        <w:br/>
        <w:t>|   `-- ev_driving_dataset.csv         # 5,000 trip records (VED Nissan Leaf specification)</w:t>
        <w:br/>
        <w:t>|-- models/</w:t>
        <w:br/>
        <w:t>|   `-- svr_pipeline.joblib            # Pre-trained SVR pipeline (StandardScaler + SVR)</w:t>
        <w:br/>
        <w:t>|-- notebooks/</w:t>
        <w:br/>
        <w:t>|   `-- ev_range_prediction.ipynb      # Executable Jupyter Notebook with analysis &amp; plots</w:t>
        <w:br/>
        <w:t>|-- src/</w:t>
        <w:br/>
        <w:t>|   |-- __init__.py</w:t>
        <w:br/>
        <w:t>|   |-- data_generator.py              # Physics-grounded EV data simulation module</w:t>
        <w:br/>
        <w:t>|   |-- train.py                       # Training, benchmarking, and serialization script</w:t>
        <w:br/>
        <w:t>|   `-- predict.py                     # Standalone CLI inference utility</w:t>
        <w:br/>
        <w:t>|-- assets/</w:t>
        <w:br/>
        <w:t>|   `-- ev_model_comparison.png        # Benchmark evaluation scatter plot</w:t>
        <w:br/>
        <w:t>|-- docs/</w:t>
        <w:br/>
        <w:t>|   `-- PROJECT_REPORT.md              # Detailed academic/technical report</w:t>
        <w:br/>
        <w:t>`-- EV_Range_Prediction_Presentation.pptx # Widescreen presentation slide deck</w:t>
      </w:r>
    </w:p>
    <w:p>
      <w:pPr>
        <w:pStyle w:val="Heading1"/>
      </w:pPr>
      <w:r>
        <w:rPr>
          <w:rFonts w:ascii="Arial" w:hAnsi="Arial"/>
          <w:b/>
          <w:color w:val="0F1E3C"/>
          <w:sz w:val="32"/>
        </w:rPr>
        <w:t>4. Installation and Setup</w:t>
      </w:r>
    </w:p>
    <w:p>
      <w:pPr>
        <w:spacing w:before="80" w:after="40"/>
      </w:pPr>
      <w:r>
        <w:rPr>
          <w:rFonts w:ascii="Arial" w:hAnsi="Arial"/>
          <w:b/>
          <w:color w:val="0F1E3C"/>
          <w:sz w:val="20"/>
        </w:rPr>
        <w:t>Prerequisites:</w:t>
      </w:r>
    </w:p>
    <w:p>
      <w:pPr>
        <w:spacing w:line="252" w:lineRule="auto" w:after="120"/>
      </w:pPr>
      <w:r>
        <w:rPr>
          <w:rFonts w:ascii="Courier New" w:hAnsi="Courier New"/>
          <w:color w:val="1E293B"/>
          <w:sz w:val="18"/>
        </w:rPr>
        <w:t>Python 3.10 or higher. Recommended: Virtual environment (venv).</w:t>
      </w:r>
    </w:p>
    <w:p>
      <w:pPr>
        <w:spacing w:before="80" w:after="40"/>
      </w:pPr>
      <w:r>
        <w:rPr>
          <w:rFonts w:ascii="Arial" w:hAnsi="Arial"/>
          <w:b/>
          <w:color w:val="0F1E3C"/>
          <w:sz w:val="20"/>
        </w:rPr>
        <w:t>Step 1 - Clone Repository:</w:t>
      </w:r>
    </w:p>
    <w:p>
      <w:pPr>
        <w:spacing w:line="252" w:lineRule="auto" w:after="120"/>
      </w:pPr>
      <w:r>
        <w:rPr>
          <w:rFonts w:ascii="Courier New" w:hAnsi="Courier New"/>
          <w:color w:val="1E293B"/>
          <w:sz w:val="18"/>
        </w:rPr>
        <w:t>git clone https://github.com/airlord-0/EV-range-range-prediction.git</w:t>
        <w:br/>
        <w:t>cd EV-range-range-prediction</w:t>
      </w:r>
    </w:p>
    <w:p>
      <w:pPr>
        <w:spacing w:before="80" w:after="40"/>
      </w:pPr>
      <w:r>
        <w:rPr>
          <w:rFonts w:ascii="Arial" w:hAnsi="Arial"/>
          <w:b/>
          <w:color w:val="0F1E3C"/>
          <w:sz w:val="20"/>
        </w:rPr>
        <w:t>Step 2 - Virtual Environment:</w:t>
      </w:r>
    </w:p>
    <w:p>
      <w:pPr>
        <w:spacing w:line="252" w:lineRule="auto" w:after="120"/>
      </w:pPr>
      <w:r>
        <w:rPr>
          <w:rFonts w:ascii="Courier New" w:hAnsi="Courier New"/>
          <w:color w:val="1E293B"/>
          <w:sz w:val="18"/>
        </w:rPr>
        <w:t>python3 -m venv venv</w:t>
        <w:br/>
        <w:t>source venv/bin/activate  # On Windows: venv\Scripts\activate</w:t>
      </w:r>
    </w:p>
    <w:p>
      <w:pPr>
        <w:spacing w:before="80" w:after="40"/>
      </w:pPr>
      <w:r>
        <w:rPr>
          <w:rFonts w:ascii="Arial" w:hAnsi="Arial"/>
          <w:b/>
          <w:color w:val="0F1E3C"/>
          <w:sz w:val="20"/>
        </w:rPr>
        <w:t>Step 3 - Install Dependencies:</w:t>
      </w:r>
    </w:p>
    <w:p>
      <w:pPr>
        <w:spacing w:line="252" w:lineRule="auto" w:after="120"/>
      </w:pPr>
      <w:r>
        <w:rPr>
          <w:rFonts w:ascii="Courier New" w:hAnsi="Courier New"/>
          <w:color w:val="1E293B"/>
          <w:sz w:val="18"/>
        </w:rPr>
        <w:t>pip install -r requirements.txt</w:t>
      </w:r>
    </w:p>
    <w:p>
      <w:pPr>
        <w:pStyle w:val="Heading1"/>
      </w:pPr>
      <w:r>
        <w:rPr>
          <w:rFonts w:ascii="Arial" w:hAnsi="Arial"/>
          <w:b/>
          <w:color w:val="0F1E3C"/>
          <w:sz w:val="32"/>
        </w:rPr>
        <w:t>5. Usage</w:t>
      </w:r>
    </w:p>
    <w:p>
      <w:pPr>
        <w:spacing w:before="80" w:after="40"/>
      </w:pPr>
      <w:r>
        <w:rPr>
          <w:rFonts w:ascii="Arial" w:hAnsi="Arial"/>
          <w:b/>
          <w:color w:val="0F1E3C"/>
          <w:sz w:val="20"/>
        </w:rPr>
        <w:t>Launch Interactive Web Application:</w:t>
      </w:r>
    </w:p>
    <w:p>
      <w:pPr>
        <w:spacing w:line="252" w:lineRule="auto" w:after="120"/>
      </w:pPr>
      <w:r>
        <w:rPr>
          <w:rFonts w:ascii="Courier New" w:hAnsi="Courier New"/>
          <w:color w:val="1E293B"/>
          <w:sz w:val="18"/>
        </w:rPr>
        <w:t>streamlit run app.py</w:t>
        <w:br/>
        <w:t>Starts local web server with interactive sliders for speed, temperature, SoC, slope, and HVAC power.</w:t>
      </w:r>
    </w:p>
    <w:p>
      <w:pPr>
        <w:spacing w:before="80" w:after="40"/>
      </w:pPr>
      <w:r>
        <w:rPr>
          <w:rFonts w:ascii="Arial" w:hAnsi="Arial"/>
          <w:b/>
          <w:color w:val="0F1E3C"/>
          <w:sz w:val="20"/>
        </w:rPr>
        <w:t>Retrain Models &amp; Benchmark:</w:t>
      </w:r>
    </w:p>
    <w:p>
      <w:pPr>
        <w:spacing w:line="252" w:lineRule="auto" w:after="120"/>
      </w:pPr>
      <w:r>
        <w:rPr>
          <w:rFonts w:ascii="Courier New" w:hAnsi="Courier New"/>
          <w:color w:val="1E293B"/>
          <w:sz w:val="18"/>
        </w:rPr>
        <w:t>python src/train.py</w:t>
        <w:br/>
        <w:t>Regenerates the dataset, evaluates all candidate models, and exports the champion model.</w:t>
      </w:r>
    </w:p>
    <w:p>
      <w:pPr>
        <w:spacing w:before="80" w:after="40"/>
      </w:pPr>
      <w:r>
        <w:rPr>
          <w:rFonts w:ascii="Arial" w:hAnsi="Arial"/>
          <w:b/>
          <w:color w:val="0F1E3C"/>
          <w:sz w:val="20"/>
        </w:rPr>
        <w:t>Run Standalone CLI Predictor:</w:t>
      </w:r>
    </w:p>
    <w:p>
      <w:pPr>
        <w:spacing w:line="252" w:lineRule="auto" w:after="120"/>
      </w:pPr>
      <w:r>
        <w:rPr>
          <w:rFonts w:ascii="Courier New" w:hAnsi="Courier New"/>
          <w:color w:val="1E293B"/>
          <w:sz w:val="18"/>
        </w:rPr>
        <w:t>python src/predict.py</w:t>
        <w:br/>
        <w:t>Predicts remaining range for sample operational scenarios.</w:t>
      </w:r>
    </w:p>
    <w:p>
      <w:pPr>
        <w:spacing w:before="80" w:after="40"/>
      </w:pPr>
      <w:r>
        <w:rPr>
          <w:rFonts w:ascii="Arial" w:hAnsi="Arial"/>
          <w:b/>
          <w:color w:val="0F1E3C"/>
          <w:sz w:val="20"/>
        </w:rPr>
        <w:t>View Jupyter Notebook:</w:t>
      </w:r>
    </w:p>
    <w:p>
      <w:pPr>
        <w:spacing w:line="252" w:lineRule="auto" w:after="120"/>
      </w:pPr>
      <w:r>
        <w:rPr>
          <w:rFonts w:ascii="Courier New" w:hAnsi="Courier New"/>
          <w:color w:val="1E293B"/>
          <w:sz w:val="18"/>
        </w:rPr>
        <w:t>jupyter lab notebooks/ev_range_prediction.ipynb</w:t>
        <w:br/>
        <w:t>Interactive exploration, mathematical formulas, and inline visualization.</w:t>
      </w:r>
    </w:p>
    <w:p>
      <w:pPr>
        <w:pStyle w:val="Heading1"/>
      </w:pPr>
      <w:r>
        <w:rPr>
          <w:rFonts w:ascii="Arial" w:hAnsi="Arial"/>
          <w:b/>
          <w:color w:val="0F1E3C"/>
          <w:sz w:val="32"/>
        </w:rPr>
        <w:t>6. Real-World Scenario Examples</w:t>
      </w:r>
    </w:p>
    <w:p>
      <w:pPr>
        <w:pStyle w:val="ListBullet"/>
        <w:spacing w:line="276" w:lineRule="auto" w:after="80"/>
      </w:pPr>
      <w:r>
        <w:rPr>
          <w:rFonts w:ascii="Arial" w:hAnsi="Arial"/>
          <w:b/>
          <w:color w:val="0F1E3C"/>
          <w:sz w:val="20"/>
        </w:rPr>
        <w:t>Scenario 1: Harsh Winter Highway</w:t>
        <w:br/>
      </w:r>
      <w:r>
        <w:rPr>
          <w:rFonts w:ascii="Arial" w:hAnsi="Arial"/>
          <w:color w:val="1E293B"/>
          <w:sz w:val="19"/>
        </w:rPr>
        <w:t xml:space="preserve">  - Inputs: -5 deg C, 100 km/h, 80% SoC, 4.0 kW Heater</w:t>
        <w:br/>
      </w:r>
      <w:r>
        <w:rPr>
          <w:rFonts w:ascii="Arial" w:hAnsi="Arial"/>
          <w:b/>
          <w:color w:val="1D4ED8"/>
          <w:sz w:val="19"/>
        </w:rPr>
        <w:t xml:space="preserve">  - Predicted Range: 39.8 km (~62% penalty due to cold chemistry and drag).</w:t>
      </w:r>
    </w:p>
    <w:p>
      <w:pPr>
        <w:pStyle w:val="ListBullet"/>
        <w:spacing w:line="276" w:lineRule="auto" w:after="80"/>
      </w:pPr>
      <w:r>
        <w:rPr>
          <w:rFonts w:ascii="Arial" w:hAnsi="Arial"/>
          <w:b/>
          <w:color w:val="0F1E3C"/>
          <w:sz w:val="20"/>
        </w:rPr>
        <w:t>Scenario 2: Mild Spring Urban Commute</w:t>
        <w:br/>
      </w:r>
      <w:r>
        <w:rPr>
          <w:rFonts w:ascii="Arial" w:hAnsi="Arial"/>
          <w:color w:val="1E293B"/>
          <w:sz w:val="19"/>
        </w:rPr>
        <w:t xml:space="preserve">  - Inputs: +20 deg C, 40 km/h, 80% SoC, HVAC Off</w:t>
        <w:br/>
      </w:r>
      <w:r>
        <w:rPr>
          <w:rFonts w:ascii="Arial" w:hAnsi="Arial"/>
          <w:b/>
          <w:color w:val="1D4ED8"/>
          <w:sz w:val="19"/>
        </w:rPr>
        <w:t xml:space="preserve">  - Predicted Range: 106.3 km (Optimal operating zone).</w:t>
      </w:r>
    </w:p>
    <w:p>
      <w:pPr>
        <w:pStyle w:val="ListBullet"/>
        <w:spacing w:line="276" w:lineRule="auto" w:after="80"/>
      </w:pPr>
      <w:r>
        <w:rPr>
          <w:rFonts w:ascii="Arial" w:hAnsi="Arial"/>
          <w:b/>
          <w:color w:val="0F1E3C"/>
          <w:sz w:val="20"/>
        </w:rPr>
        <w:t>Scenario 3: Hot Summer Mountain Climb</w:t>
        <w:br/>
      </w:r>
      <w:r>
        <w:rPr>
          <w:rFonts w:ascii="Arial" w:hAnsi="Arial"/>
          <w:color w:val="1E293B"/>
          <w:sz w:val="19"/>
        </w:rPr>
        <w:t xml:space="preserve">  - Inputs: +34 deg C, 60 km/h, 50% SoC, +4% Grade, 2.5 kW A/C</w:t>
        <w:br/>
      </w:r>
      <w:r>
        <w:rPr>
          <w:rFonts w:ascii="Arial" w:hAnsi="Arial"/>
          <w:b/>
          <w:color w:val="1D4ED8"/>
          <w:sz w:val="19"/>
        </w:rPr>
        <w:t xml:space="preserve">  - Predicted Range: 37.1 km.</w:t>
      </w:r>
    </w:p>
    <w:p>
      <w:pPr>
        <w:pStyle w:val="Heading1"/>
      </w:pPr>
      <w:r>
        <w:rPr>
          <w:rFonts w:ascii="Arial" w:hAnsi="Arial"/>
          <w:b/>
          <w:color w:val="0F1E3C"/>
          <w:sz w:val="32"/>
        </w:rPr>
        <w:t>7. License</w:t>
      </w:r>
    </w:p>
    <w:p>
      <w:r>
        <w:rPr>
          <w:rFonts w:ascii="Arial" w:hAnsi="Arial"/>
          <w:color w:val="1E293B"/>
          <w:sz w:val="21"/>
        </w:rPr>
        <w:t>This project is licensed under the Apache License 2.0.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